
<file path=[Content_Types].xml><?xml version="1.0" encoding="utf-8"?>
<Types xmlns="http://schemas.openxmlformats.org/package/2006/content-types">
  <Default Extension="png" ContentType="image/png"/>
  <Default Extension="xlsm" ContentType="application/vnd.ms-excel.sheet.macroEnabled.12"/>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30"/>
        <w:gridCol w:w="2409"/>
      </w:tblGrid>
      <w:tr w:rsidR="005A41BE" w14:paraId="2E870EEF" w14:textId="77777777" w:rsidTr="00DB3322">
        <w:tc>
          <w:tcPr>
            <w:tcW w:w="7230" w:type="dxa"/>
          </w:tcPr>
          <w:p w14:paraId="4CB71940" w14:textId="60AE60AA" w:rsidR="00CF67C9" w:rsidRPr="004103EE" w:rsidRDefault="00B95556" w:rsidP="00CF67C9">
            <w:pPr>
              <w:pStyle w:val="Title"/>
              <w:rPr>
                <w:color w:val="002249"/>
                <w:sz w:val="72"/>
              </w:rPr>
            </w:pPr>
            <w:r w:rsidRPr="004103EE">
              <w:rPr>
                <w:color w:val="002249"/>
                <w:sz w:val="72"/>
              </w:rPr>
              <w:t>Pre-Qualification Questionnaire</w:t>
            </w:r>
            <w:r w:rsidR="00CF67C9" w:rsidRPr="004103EE">
              <w:rPr>
                <w:color w:val="002249"/>
                <w:sz w:val="72"/>
              </w:rPr>
              <w:t xml:space="preserve"> (</w:t>
            </w:r>
            <w:r w:rsidRPr="004103EE">
              <w:rPr>
                <w:color w:val="002249"/>
                <w:sz w:val="72"/>
              </w:rPr>
              <w:t>PQQ</w:t>
            </w:r>
            <w:r w:rsidR="00CF67C9" w:rsidRPr="004103EE">
              <w:rPr>
                <w:color w:val="002249"/>
                <w:sz w:val="72"/>
              </w:rPr>
              <w:t>) for LNG ISO Tanks</w:t>
            </w:r>
          </w:p>
          <w:p w14:paraId="28D30BAB" w14:textId="3C8C80C6" w:rsidR="00CF67C9" w:rsidRDefault="00CF67C9" w:rsidP="00CF67C9">
            <w:pPr>
              <w:rPr>
                <w:rFonts w:asciiTheme="majorHAnsi" w:eastAsiaTheme="majorEastAsia" w:hAnsiTheme="majorHAnsi" w:cstheme="majorBidi"/>
                <w:color w:val="002249"/>
                <w:spacing w:val="5"/>
                <w:kern w:val="28"/>
                <w:sz w:val="44"/>
                <w:szCs w:val="52"/>
              </w:rPr>
            </w:pPr>
            <w:r w:rsidRPr="00CF67C9">
              <w:rPr>
                <w:rFonts w:asciiTheme="majorHAnsi" w:eastAsiaTheme="majorEastAsia" w:hAnsiTheme="majorHAnsi" w:cstheme="majorBidi"/>
                <w:color w:val="002249"/>
                <w:spacing w:val="5"/>
                <w:kern w:val="28"/>
                <w:sz w:val="44"/>
                <w:szCs w:val="52"/>
              </w:rPr>
              <w:t xml:space="preserve">Deadline: </w:t>
            </w:r>
            <w:r w:rsidR="001B00DB">
              <w:rPr>
                <w:rFonts w:asciiTheme="majorHAnsi" w:eastAsiaTheme="majorEastAsia" w:hAnsiTheme="majorHAnsi" w:cstheme="majorBidi"/>
                <w:color w:val="002249"/>
                <w:spacing w:val="5"/>
                <w:kern w:val="28"/>
                <w:sz w:val="44"/>
                <w:szCs w:val="52"/>
              </w:rPr>
              <w:t>9 October 2019</w:t>
            </w:r>
          </w:p>
          <w:p w14:paraId="1FAE74E8" w14:textId="1C7F5ED6" w:rsidR="001B00DB" w:rsidRPr="004103EE" w:rsidRDefault="001B00DB" w:rsidP="00CF67C9">
            <w:pPr>
              <w:rPr>
                <w:rFonts w:asciiTheme="majorHAnsi" w:eastAsiaTheme="majorEastAsia" w:hAnsiTheme="majorHAnsi" w:cstheme="majorBidi"/>
                <w:color w:val="002249"/>
                <w:spacing w:val="5"/>
                <w:kern w:val="28"/>
                <w:sz w:val="28"/>
                <w:szCs w:val="52"/>
                <w:vertAlign w:val="superscript"/>
              </w:rPr>
            </w:pPr>
            <w:r w:rsidRPr="004103EE">
              <w:rPr>
                <w:rFonts w:asciiTheme="majorHAnsi" w:eastAsiaTheme="majorEastAsia" w:hAnsiTheme="majorHAnsi" w:cstheme="majorBidi"/>
                <w:color w:val="002249"/>
                <w:spacing w:val="5"/>
                <w:kern w:val="28"/>
                <w:sz w:val="28"/>
                <w:szCs w:val="52"/>
              </w:rPr>
              <w:t>Date</w:t>
            </w:r>
            <w:r w:rsidR="004103EE">
              <w:rPr>
                <w:rFonts w:asciiTheme="majorHAnsi" w:eastAsiaTheme="majorEastAsia" w:hAnsiTheme="majorHAnsi" w:cstheme="majorBidi"/>
                <w:color w:val="002249"/>
                <w:spacing w:val="5"/>
                <w:kern w:val="28"/>
                <w:sz w:val="28"/>
                <w:szCs w:val="52"/>
              </w:rPr>
              <w:t>d</w:t>
            </w:r>
            <w:r w:rsidRPr="004103EE">
              <w:rPr>
                <w:rFonts w:asciiTheme="majorHAnsi" w:eastAsiaTheme="majorEastAsia" w:hAnsiTheme="majorHAnsi" w:cstheme="majorBidi"/>
                <w:color w:val="002249"/>
                <w:spacing w:val="5"/>
                <w:kern w:val="28"/>
                <w:sz w:val="28"/>
                <w:szCs w:val="52"/>
              </w:rPr>
              <w:t xml:space="preserve">: </w:t>
            </w:r>
            <w:r w:rsidR="00F44810" w:rsidRPr="004103EE">
              <w:rPr>
                <w:rFonts w:asciiTheme="majorHAnsi" w:eastAsiaTheme="majorEastAsia" w:hAnsiTheme="majorHAnsi" w:cstheme="majorBidi"/>
                <w:color w:val="002249"/>
                <w:spacing w:val="5"/>
                <w:kern w:val="28"/>
                <w:sz w:val="28"/>
                <w:szCs w:val="52"/>
              </w:rPr>
              <w:t>6</w:t>
            </w:r>
            <w:r w:rsidRPr="004103EE">
              <w:rPr>
                <w:rFonts w:asciiTheme="majorHAnsi" w:eastAsiaTheme="majorEastAsia" w:hAnsiTheme="majorHAnsi" w:cstheme="majorBidi"/>
                <w:color w:val="002249"/>
                <w:spacing w:val="5"/>
                <w:kern w:val="28"/>
                <w:sz w:val="28"/>
                <w:szCs w:val="52"/>
              </w:rPr>
              <w:t xml:space="preserve"> September 2019</w:t>
            </w:r>
          </w:p>
          <w:p w14:paraId="47B6E455" w14:textId="7534FB80" w:rsidR="005A41BE" w:rsidRPr="001B00DB" w:rsidRDefault="001B00DB" w:rsidP="001B00DB">
            <w:pPr>
              <w:rPr>
                <w:rFonts w:asciiTheme="majorHAnsi" w:eastAsiaTheme="majorEastAsia" w:hAnsiTheme="majorHAnsi" w:cstheme="majorBidi"/>
                <w:color w:val="002249"/>
                <w:spacing w:val="5"/>
                <w:kern w:val="28"/>
                <w:sz w:val="44"/>
                <w:szCs w:val="52"/>
              </w:rPr>
            </w:pPr>
            <w:r w:rsidRPr="004103EE">
              <w:rPr>
                <w:rFonts w:asciiTheme="majorHAnsi" w:eastAsiaTheme="majorEastAsia" w:hAnsiTheme="majorHAnsi" w:cstheme="majorBidi"/>
                <w:color w:val="002249"/>
                <w:spacing w:val="5"/>
                <w:kern w:val="28"/>
                <w:sz w:val="28"/>
                <w:szCs w:val="52"/>
              </w:rPr>
              <w:t>Document Produced by: Cameron Kerr, Mathew Starley</w:t>
            </w:r>
          </w:p>
        </w:tc>
        <w:tc>
          <w:tcPr>
            <w:tcW w:w="2409" w:type="dxa"/>
          </w:tcPr>
          <w:p w14:paraId="4E625C98" w14:textId="77777777" w:rsidR="005A41BE" w:rsidRDefault="005A41BE" w:rsidP="00DB3322">
            <w:pPr>
              <w:pStyle w:val="Title"/>
            </w:pPr>
          </w:p>
        </w:tc>
      </w:tr>
    </w:tbl>
    <w:p w14:paraId="0E54A6E4" w14:textId="29F03C79" w:rsidR="005A41BE" w:rsidRPr="00D11435" w:rsidRDefault="005A41BE" w:rsidP="005A41BE">
      <w:pPr>
        <w:rPr>
          <w:color w:val="002249" w:themeColor="accent2"/>
        </w:rPr>
      </w:pPr>
    </w:p>
    <w:p w14:paraId="609337EB" w14:textId="77777777" w:rsidR="005A41BE" w:rsidRDefault="005A41BE" w:rsidP="005A41BE"/>
    <w:p w14:paraId="0AD509F7" w14:textId="77777777" w:rsidR="005A41BE" w:rsidRDefault="005A41BE" w:rsidP="005A41BE"/>
    <w:p w14:paraId="29EC092C" w14:textId="77777777" w:rsidR="005A41BE" w:rsidRDefault="005A41BE" w:rsidP="005A41BE">
      <w:r>
        <w:br w:type="page"/>
      </w:r>
    </w:p>
    <w:p w14:paraId="5F28988D" w14:textId="77777777" w:rsidR="005A41BE" w:rsidRDefault="005A41BE" w:rsidP="005A41BE">
      <w:pPr>
        <w:pStyle w:val="Contents"/>
      </w:pPr>
      <w:r w:rsidRPr="00251B80">
        <w:lastRenderedPageBreak/>
        <w:t>Contents</w:t>
      </w:r>
    </w:p>
    <w:p w14:paraId="59E3AD42" w14:textId="0235DA1F" w:rsidR="004A2EE1" w:rsidRDefault="004F06B0">
      <w:pPr>
        <w:pStyle w:val="TOC1"/>
        <w:rPr>
          <w:rFonts w:asciiTheme="minorHAnsi" w:eastAsiaTheme="minorEastAsia" w:hAnsiTheme="minorHAnsi"/>
          <w:b w:val="0"/>
          <w:noProof/>
          <w:color w:val="auto"/>
          <w:lang w:eastAsia="en-GB"/>
        </w:rPr>
      </w:pPr>
      <w:r>
        <w:fldChar w:fldCharType="begin"/>
      </w:r>
      <w:r w:rsidR="005A41BE">
        <w:instrText xml:space="preserve"> TOC \o "1-2" \h \z \u </w:instrText>
      </w:r>
      <w:r>
        <w:fldChar w:fldCharType="separate"/>
      </w:r>
      <w:hyperlink w:anchor="_Toc18661778" w:history="1">
        <w:r w:rsidR="004A2EE1" w:rsidRPr="00BD33D2">
          <w:rPr>
            <w:rStyle w:val="Hyperlink"/>
            <w:noProof/>
          </w:rPr>
          <w:t>1 Introduction</w:t>
        </w:r>
        <w:r w:rsidR="004A2EE1">
          <w:rPr>
            <w:noProof/>
            <w:webHidden/>
          </w:rPr>
          <w:tab/>
        </w:r>
        <w:r w:rsidR="004A2EE1">
          <w:rPr>
            <w:noProof/>
            <w:webHidden/>
          </w:rPr>
          <w:fldChar w:fldCharType="begin"/>
        </w:r>
        <w:r w:rsidR="004A2EE1">
          <w:rPr>
            <w:noProof/>
            <w:webHidden/>
          </w:rPr>
          <w:instrText xml:space="preserve"> PAGEREF _Toc18661778 \h </w:instrText>
        </w:r>
        <w:r w:rsidR="004A2EE1">
          <w:rPr>
            <w:noProof/>
            <w:webHidden/>
          </w:rPr>
        </w:r>
        <w:r w:rsidR="004A2EE1">
          <w:rPr>
            <w:noProof/>
            <w:webHidden/>
          </w:rPr>
          <w:fldChar w:fldCharType="separate"/>
        </w:r>
        <w:r w:rsidR="004A2EE1">
          <w:rPr>
            <w:noProof/>
            <w:webHidden/>
          </w:rPr>
          <w:t>3</w:t>
        </w:r>
        <w:r w:rsidR="004A2EE1">
          <w:rPr>
            <w:noProof/>
            <w:webHidden/>
          </w:rPr>
          <w:fldChar w:fldCharType="end"/>
        </w:r>
      </w:hyperlink>
    </w:p>
    <w:p w14:paraId="0E7A9E89" w14:textId="1F9F8AF9" w:rsidR="004A2EE1" w:rsidRDefault="000562FC">
      <w:pPr>
        <w:pStyle w:val="TOC2"/>
        <w:rPr>
          <w:rFonts w:asciiTheme="minorHAnsi" w:eastAsiaTheme="minorEastAsia" w:hAnsiTheme="minorHAnsi"/>
          <w:noProof/>
          <w:color w:val="auto"/>
          <w:lang w:eastAsia="en-GB"/>
        </w:rPr>
      </w:pPr>
      <w:hyperlink w:anchor="_Toc18661779" w:history="1">
        <w:r w:rsidR="004A2EE1" w:rsidRPr="00BD33D2">
          <w:rPr>
            <w:rStyle w:val="Hyperlink"/>
            <w:noProof/>
          </w:rPr>
          <w:t>1.1 SGN Overview</w:t>
        </w:r>
        <w:r w:rsidR="004A2EE1">
          <w:rPr>
            <w:noProof/>
            <w:webHidden/>
          </w:rPr>
          <w:tab/>
        </w:r>
        <w:r w:rsidR="004A2EE1">
          <w:rPr>
            <w:noProof/>
            <w:webHidden/>
          </w:rPr>
          <w:fldChar w:fldCharType="begin"/>
        </w:r>
        <w:r w:rsidR="004A2EE1">
          <w:rPr>
            <w:noProof/>
            <w:webHidden/>
          </w:rPr>
          <w:instrText xml:space="preserve"> PAGEREF _Toc18661779 \h </w:instrText>
        </w:r>
        <w:r w:rsidR="004A2EE1">
          <w:rPr>
            <w:noProof/>
            <w:webHidden/>
          </w:rPr>
        </w:r>
        <w:r w:rsidR="004A2EE1">
          <w:rPr>
            <w:noProof/>
            <w:webHidden/>
          </w:rPr>
          <w:fldChar w:fldCharType="separate"/>
        </w:r>
        <w:r w:rsidR="004A2EE1">
          <w:rPr>
            <w:noProof/>
            <w:webHidden/>
          </w:rPr>
          <w:t>3</w:t>
        </w:r>
        <w:r w:rsidR="004A2EE1">
          <w:rPr>
            <w:noProof/>
            <w:webHidden/>
          </w:rPr>
          <w:fldChar w:fldCharType="end"/>
        </w:r>
      </w:hyperlink>
    </w:p>
    <w:p w14:paraId="1120B448" w14:textId="6A68E241" w:rsidR="004A2EE1" w:rsidRDefault="000562FC">
      <w:pPr>
        <w:pStyle w:val="TOC2"/>
        <w:rPr>
          <w:rFonts w:asciiTheme="minorHAnsi" w:eastAsiaTheme="minorEastAsia" w:hAnsiTheme="minorHAnsi"/>
          <w:noProof/>
          <w:color w:val="auto"/>
          <w:lang w:eastAsia="en-GB"/>
        </w:rPr>
      </w:pPr>
      <w:hyperlink w:anchor="_Toc18661780" w:history="1">
        <w:r w:rsidR="004A2EE1" w:rsidRPr="00BD33D2">
          <w:rPr>
            <w:rStyle w:val="Hyperlink"/>
            <w:noProof/>
          </w:rPr>
          <w:t>1.2 Our Values</w:t>
        </w:r>
        <w:r w:rsidR="004A2EE1">
          <w:rPr>
            <w:noProof/>
            <w:webHidden/>
          </w:rPr>
          <w:tab/>
        </w:r>
        <w:r w:rsidR="004A2EE1">
          <w:rPr>
            <w:noProof/>
            <w:webHidden/>
          </w:rPr>
          <w:fldChar w:fldCharType="begin"/>
        </w:r>
        <w:r w:rsidR="004A2EE1">
          <w:rPr>
            <w:noProof/>
            <w:webHidden/>
          </w:rPr>
          <w:instrText xml:space="preserve"> PAGEREF _Toc18661780 \h </w:instrText>
        </w:r>
        <w:r w:rsidR="004A2EE1">
          <w:rPr>
            <w:noProof/>
            <w:webHidden/>
          </w:rPr>
        </w:r>
        <w:r w:rsidR="004A2EE1">
          <w:rPr>
            <w:noProof/>
            <w:webHidden/>
          </w:rPr>
          <w:fldChar w:fldCharType="separate"/>
        </w:r>
        <w:r w:rsidR="004A2EE1">
          <w:rPr>
            <w:noProof/>
            <w:webHidden/>
          </w:rPr>
          <w:t>4</w:t>
        </w:r>
        <w:r w:rsidR="004A2EE1">
          <w:rPr>
            <w:noProof/>
            <w:webHidden/>
          </w:rPr>
          <w:fldChar w:fldCharType="end"/>
        </w:r>
      </w:hyperlink>
    </w:p>
    <w:p w14:paraId="2EB0DEB6" w14:textId="66BBE4A1" w:rsidR="004A2EE1" w:rsidRDefault="000562FC">
      <w:pPr>
        <w:pStyle w:val="TOC1"/>
        <w:rPr>
          <w:rFonts w:asciiTheme="minorHAnsi" w:eastAsiaTheme="minorEastAsia" w:hAnsiTheme="minorHAnsi"/>
          <w:b w:val="0"/>
          <w:noProof/>
          <w:color w:val="auto"/>
          <w:lang w:eastAsia="en-GB"/>
        </w:rPr>
      </w:pPr>
      <w:hyperlink w:anchor="_Toc18661781" w:history="1">
        <w:r w:rsidR="004A2EE1" w:rsidRPr="00BD33D2">
          <w:rPr>
            <w:rStyle w:val="Hyperlink"/>
            <w:noProof/>
          </w:rPr>
          <w:t>2 Project Overview / Instructions</w:t>
        </w:r>
        <w:r w:rsidR="004A2EE1">
          <w:rPr>
            <w:noProof/>
            <w:webHidden/>
          </w:rPr>
          <w:tab/>
        </w:r>
        <w:r w:rsidR="004A2EE1">
          <w:rPr>
            <w:noProof/>
            <w:webHidden/>
          </w:rPr>
          <w:fldChar w:fldCharType="begin"/>
        </w:r>
        <w:r w:rsidR="004A2EE1">
          <w:rPr>
            <w:noProof/>
            <w:webHidden/>
          </w:rPr>
          <w:instrText xml:space="preserve"> PAGEREF _Toc18661781 \h </w:instrText>
        </w:r>
        <w:r w:rsidR="004A2EE1">
          <w:rPr>
            <w:noProof/>
            <w:webHidden/>
          </w:rPr>
        </w:r>
        <w:r w:rsidR="004A2EE1">
          <w:rPr>
            <w:noProof/>
            <w:webHidden/>
          </w:rPr>
          <w:fldChar w:fldCharType="separate"/>
        </w:r>
        <w:r w:rsidR="004A2EE1">
          <w:rPr>
            <w:noProof/>
            <w:webHidden/>
          </w:rPr>
          <w:t>5</w:t>
        </w:r>
        <w:r w:rsidR="004A2EE1">
          <w:rPr>
            <w:noProof/>
            <w:webHidden/>
          </w:rPr>
          <w:fldChar w:fldCharType="end"/>
        </w:r>
      </w:hyperlink>
    </w:p>
    <w:p w14:paraId="525CBA91" w14:textId="3F78EB86" w:rsidR="004A2EE1" w:rsidRDefault="000562FC">
      <w:pPr>
        <w:pStyle w:val="TOC2"/>
        <w:rPr>
          <w:rFonts w:asciiTheme="minorHAnsi" w:eastAsiaTheme="minorEastAsia" w:hAnsiTheme="minorHAnsi"/>
          <w:noProof/>
          <w:color w:val="auto"/>
          <w:lang w:eastAsia="en-GB"/>
        </w:rPr>
      </w:pPr>
      <w:hyperlink w:anchor="_Toc18661782" w:history="1">
        <w:r w:rsidR="004A2EE1" w:rsidRPr="00BD33D2">
          <w:rPr>
            <w:rStyle w:val="Hyperlink"/>
            <w:noProof/>
          </w:rPr>
          <w:t>2.1 Scope</w:t>
        </w:r>
        <w:r w:rsidR="004A2EE1">
          <w:rPr>
            <w:noProof/>
            <w:webHidden/>
          </w:rPr>
          <w:tab/>
        </w:r>
        <w:r w:rsidR="004A2EE1">
          <w:rPr>
            <w:noProof/>
            <w:webHidden/>
          </w:rPr>
          <w:fldChar w:fldCharType="begin"/>
        </w:r>
        <w:r w:rsidR="004A2EE1">
          <w:rPr>
            <w:noProof/>
            <w:webHidden/>
          </w:rPr>
          <w:instrText xml:space="preserve"> PAGEREF _Toc18661782 \h </w:instrText>
        </w:r>
        <w:r w:rsidR="004A2EE1">
          <w:rPr>
            <w:noProof/>
            <w:webHidden/>
          </w:rPr>
        </w:r>
        <w:r w:rsidR="004A2EE1">
          <w:rPr>
            <w:noProof/>
            <w:webHidden/>
          </w:rPr>
          <w:fldChar w:fldCharType="separate"/>
        </w:r>
        <w:r w:rsidR="004A2EE1">
          <w:rPr>
            <w:noProof/>
            <w:webHidden/>
          </w:rPr>
          <w:t>5</w:t>
        </w:r>
        <w:r w:rsidR="004A2EE1">
          <w:rPr>
            <w:noProof/>
            <w:webHidden/>
          </w:rPr>
          <w:fldChar w:fldCharType="end"/>
        </w:r>
      </w:hyperlink>
    </w:p>
    <w:p w14:paraId="4A6E2D55" w14:textId="0146C54B" w:rsidR="004A2EE1" w:rsidRDefault="000562FC">
      <w:pPr>
        <w:pStyle w:val="TOC2"/>
        <w:rPr>
          <w:rFonts w:asciiTheme="minorHAnsi" w:eastAsiaTheme="minorEastAsia" w:hAnsiTheme="minorHAnsi"/>
          <w:noProof/>
          <w:color w:val="auto"/>
          <w:lang w:eastAsia="en-GB"/>
        </w:rPr>
      </w:pPr>
      <w:hyperlink w:anchor="_Toc18661783" w:history="1">
        <w:r w:rsidR="004A2EE1" w:rsidRPr="00BD33D2">
          <w:rPr>
            <w:rStyle w:val="Hyperlink"/>
            <w:noProof/>
          </w:rPr>
          <w:t>2.2 EU Procurement Directives</w:t>
        </w:r>
        <w:r w:rsidR="004A2EE1">
          <w:rPr>
            <w:noProof/>
            <w:webHidden/>
          </w:rPr>
          <w:tab/>
        </w:r>
        <w:r w:rsidR="004A2EE1">
          <w:rPr>
            <w:noProof/>
            <w:webHidden/>
          </w:rPr>
          <w:fldChar w:fldCharType="begin"/>
        </w:r>
        <w:r w:rsidR="004A2EE1">
          <w:rPr>
            <w:noProof/>
            <w:webHidden/>
          </w:rPr>
          <w:instrText xml:space="preserve"> PAGEREF _Toc18661783 \h </w:instrText>
        </w:r>
        <w:r w:rsidR="004A2EE1">
          <w:rPr>
            <w:noProof/>
            <w:webHidden/>
          </w:rPr>
        </w:r>
        <w:r w:rsidR="004A2EE1">
          <w:rPr>
            <w:noProof/>
            <w:webHidden/>
          </w:rPr>
          <w:fldChar w:fldCharType="separate"/>
        </w:r>
        <w:r w:rsidR="004A2EE1">
          <w:rPr>
            <w:noProof/>
            <w:webHidden/>
          </w:rPr>
          <w:t>5</w:t>
        </w:r>
        <w:r w:rsidR="004A2EE1">
          <w:rPr>
            <w:noProof/>
            <w:webHidden/>
          </w:rPr>
          <w:fldChar w:fldCharType="end"/>
        </w:r>
      </w:hyperlink>
    </w:p>
    <w:p w14:paraId="7FCDFBDA" w14:textId="29EB0508" w:rsidR="004A2EE1" w:rsidRDefault="000562FC">
      <w:pPr>
        <w:pStyle w:val="TOC2"/>
        <w:rPr>
          <w:rFonts w:asciiTheme="minorHAnsi" w:eastAsiaTheme="minorEastAsia" w:hAnsiTheme="minorHAnsi"/>
          <w:noProof/>
          <w:color w:val="auto"/>
          <w:lang w:eastAsia="en-GB"/>
        </w:rPr>
      </w:pPr>
      <w:hyperlink w:anchor="_Toc18661784" w:history="1">
        <w:r w:rsidR="004A2EE1" w:rsidRPr="00BD33D2">
          <w:rPr>
            <w:rStyle w:val="Hyperlink"/>
            <w:noProof/>
          </w:rPr>
          <w:t>2.3 Timetable</w:t>
        </w:r>
        <w:r w:rsidR="004A2EE1">
          <w:rPr>
            <w:noProof/>
            <w:webHidden/>
          </w:rPr>
          <w:tab/>
        </w:r>
        <w:r w:rsidR="004A2EE1">
          <w:rPr>
            <w:noProof/>
            <w:webHidden/>
          </w:rPr>
          <w:fldChar w:fldCharType="begin"/>
        </w:r>
        <w:r w:rsidR="004A2EE1">
          <w:rPr>
            <w:noProof/>
            <w:webHidden/>
          </w:rPr>
          <w:instrText xml:space="preserve"> PAGEREF _Toc18661784 \h </w:instrText>
        </w:r>
        <w:r w:rsidR="004A2EE1">
          <w:rPr>
            <w:noProof/>
            <w:webHidden/>
          </w:rPr>
        </w:r>
        <w:r w:rsidR="004A2EE1">
          <w:rPr>
            <w:noProof/>
            <w:webHidden/>
          </w:rPr>
          <w:fldChar w:fldCharType="separate"/>
        </w:r>
        <w:r w:rsidR="004A2EE1">
          <w:rPr>
            <w:noProof/>
            <w:webHidden/>
          </w:rPr>
          <w:t>5</w:t>
        </w:r>
        <w:r w:rsidR="004A2EE1">
          <w:rPr>
            <w:noProof/>
            <w:webHidden/>
          </w:rPr>
          <w:fldChar w:fldCharType="end"/>
        </w:r>
      </w:hyperlink>
    </w:p>
    <w:p w14:paraId="1C43E291" w14:textId="4EA34018" w:rsidR="004A2EE1" w:rsidRDefault="000562FC">
      <w:pPr>
        <w:pStyle w:val="TOC2"/>
        <w:rPr>
          <w:rFonts w:asciiTheme="minorHAnsi" w:eastAsiaTheme="minorEastAsia" w:hAnsiTheme="minorHAnsi"/>
          <w:noProof/>
          <w:color w:val="auto"/>
          <w:lang w:eastAsia="en-GB"/>
        </w:rPr>
      </w:pPr>
      <w:hyperlink w:anchor="_Toc18661785" w:history="1">
        <w:r w:rsidR="004A2EE1" w:rsidRPr="00BD33D2">
          <w:rPr>
            <w:rStyle w:val="Hyperlink"/>
            <w:noProof/>
          </w:rPr>
          <w:t>2.4 Invitation to Tender</w:t>
        </w:r>
        <w:r w:rsidR="004A2EE1">
          <w:rPr>
            <w:noProof/>
            <w:webHidden/>
          </w:rPr>
          <w:tab/>
        </w:r>
        <w:r w:rsidR="004A2EE1">
          <w:rPr>
            <w:noProof/>
            <w:webHidden/>
          </w:rPr>
          <w:fldChar w:fldCharType="begin"/>
        </w:r>
        <w:r w:rsidR="004A2EE1">
          <w:rPr>
            <w:noProof/>
            <w:webHidden/>
          </w:rPr>
          <w:instrText xml:space="preserve"> PAGEREF _Toc18661785 \h </w:instrText>
        </w:r>
        <w:r w:rsidR="004A2EE1">
          <w:rPr>
            <w:noProof/>
            <w:webHidden/>
          </w:rPr>
        </w:r>
        <w:r w:rsidR="004A2EE1">
          <w:rPr>
            <w:noProof/>
            <w:webHidden/>
          </w:rPr>
          <w:fldChar w:fldCharType="separate"/>
        </w:r>
        <w:r w:rsidR="004A2EE1">
          <w:rPr>
            <w:noProof/>
            <w:webHidden/>
          </w:rPr>
          <w:t>6</w:t>
        </w:r>
        <w:r w:rsidR="004A2EE1">
          <w:rPr>
            <w:noProof/>
            <w:webHidden/>
          </w:rPr>
          <w:fldChar w:fldCharType="end"/>
        </w:r>
      </w:hyperlink>
    </w:p>
    <w:p w14:paraId="73579EA1" w14:textId="51B5AAE7" w:rsidR="004A2EE1" w:rsidRDefault="000562FC">
      <w:pPr>
        <w:pStyle w:val="TOC2"/>
        <w:rPr>
          <w:rFonts w:asciiTheme="minorHAnsi" w:eastAsiaTheme="minorEastAsia" w:hAnsiTheme="minorHAnsi"/>
          <w:noProof/>
          <w:color w:val="auto"/>
          <w:lang w:eastAsia="en-GB"/>
        </w:rPr>
      </w:pPr>
      <w:hyperlink w:anchor="_Toc18661786" w:history="1">
        <w:r w:rsidR="004A2EE1" w:rsidRPr="00BD33D2">
          <w:rPr>
            <w:rStyle w:val="Hyperlink"/>
            <w:noProof/>
          </w:rPr>
          <w:t>2.5 Queries</w:t>
        </w:r>
        <w:r w:rsidR="004A2EE1">
          <w:rPr>
            <w:noProof/>
            <w:webHidden/>
          </w:rPr>
          <w:tab/>
        </w:r>
        <w:r w:rsidR="004A2EE1">
          <w:rPr>
            <w:noProof/>
            <w:webHidden/>
          </w:rPr>
          <w:fldChar w:fldCharType="begin"/>
        </w:r>
        <w:r w:rsidR="004A2EE1">
          <w:rPr>
            <w:noProof/>
            <w:webHidden/>
          </w:rPr>
          <w:instrText xml:space="preserve"> PAGEREF _Toc18661786 \h </w:instrText>
        </w:r>
        <w:r w:rsidR="004A2EE1">
          <w:rPr>
            <w:noProof/>
            <w:webHidden/>
          </w:rPr>
        </w:r>
        <w:r w:rsidR="004A2EE1">
          <w:rPr>
            <w:noProof/>
            <w:webHidden/>
          </w:rPr>
          <w:fldChar w:fldCharType="separate"/>
        </w:r>
        <w:r w:rsidR="004A2EE1">
          <w:rPr>
            <w:noProof/>
            <w:webHidden/>
          </w:rPr>
          <w:t>6</w:t>
        </w:r>
        <w:r w:rsidR="004A2EE1">
          <w:rPr>
            <w:noProof/>
            <w:webHidden/>
          </w:rPr>
          <w:fldChar w:fldCharType="end"/>
        </w:r>
      </w:hyperlink>
    </w:p>
    <w:p w14:paraId="036D6B0C" w14:textId="3883894E" w:rsidR="004A2EE1" w:rsidRDefault="000562FC">
      <w:pPr>
        <w:pStyle w:val="TOC2"/>
        <w:rPr>
          <w:rFonts w:asciiTheme="minorHAnsi" w:eastAsiaTheme="minorEastAsia" w:hAnsiTheme="minorHAnsi"/>
          <w:noProof/>
          <w:color w:val="auto"/>
          <w:lang w:eastAsia="en-GB"/>
        </w:rPr>
      </w:pPr>
      <w:hyperlink w:anchor="_Toc18661787" w:history="1">
        <w:r w:rsidR="004A2EE1" w:rsidRPr="00BD33D2">
          <w:rPr>
            <w:rStyle w:val="Hyperlink"/>
            <w:noProof/>
          </w:rPr>
          <w:t>2.6 How to Complete and Respond to this PQQ</w:t>
        </w:r>
        <w:r w:rsidR="004A2EE1">
          <w:rPr>
            <w:noProof/>
            <w:webHidden/>
          </w:rPr>
          <w:tab/>
        </w:r>
        <w:r w:rsidR="004A2EE1">
          <w:rPr>
            <w:noProof/>
            <w:webHidden/>
          </w:rPr>
          <w:fldChar w:fldCharType="begin"/>
        </w:r>
        <w:r w:rsidR="004A2EE1">
          <w:rPr>
            <w:noProof/>
            <w:webHidden/>
          </w:rPr>
          <w:instrText xml:space="preserve"> PAGEREF _Toc18661787 \h </w:instrText>
        </w:r>
        <w:r w:rsidR="004A2EE1">
          <w:rPr>
            <w:noProof/>
            <w:webHidden/>
          </w:rPr>
        </w:r>
        <w:r w:rsidR="004A2EE1">
          <w:rPr>
            <w:noProof/>
            <w:webHidden/>
          </w:rPr>
          <w:fldChar w:fldCharType="separate"/>
        </w:r>
        <w:r w:rsidR="004A2EE1">
          <w:rPr>
            <w:noProof/>
            <w:webHidden/>
          </w:rPr>
          <w:t>6</w:t>
        </w:r>
        <w:r w:rsidR="004A2EE1">
          <w:rPr>
            <w:noProof/>
            <w:webHidden/>
          </w:rPr>
          <w:fldChar w:fldCharType="end"/>
        </w:r>
      </w:hyperlink>
    </w:p>
    <w:p w14:paraId="17B055D9" w14:textId="19246B8F" w:rsidR="004A2EE1" w:rsidRDefault="000562FC">
      <w:pPr>
        <w:pStyle w:val="TOC2"/>
        <w:rPr>
          <w:rFonts w:asciiTheme="minorHAnsi" w:eastAsiaTheme="minorEastAsia" w:hAnsiTheme="minorHAnsi"/>
          <w:noProof/>
          <w:color w:val="auto"/>
          <w:lang w:eastAsia="en-GB"/>
        </w:rPr>
      </w:pPr>
      <w:hyperlink w:anchor="_Toc18661788" w:history="1">
        <w:r w:rsidR="004A2EE1" w:rsidRPr="00BD33D2">
          <w:rPr>
            <w:rStyle w:val="Hyperlink"/>
            <w:noProof/>
          </w:rPr>
          <w:t>2.7 Definitions</w:t>
        </w:r>
        <w:r w:rsidR="004A2EE1">
          <w:rPr>
            <w:noProof/>
            <w:webHidden/>
          </w:rPr>
          <w:tab/>
        </w:r>
        <w:r w:rsidR="004A2EE1">
          <w:rPr>
            <w:noProof/>
            <w:webHidden/>
          </w:rPr>
          <w:fldChar w:fldCharType="begin"/>
        </w:r>
        <w:r w:rsidR="004A2EE1">
          <w:rPr>
            <w:noProof/>
            <w:webHidden/>
          </w:rPr>
          <w:instrText xml:space="preserve"> PAGEREF _Toc18661788 \h </w:instrText>
        </w:r>
        <w:r w:rsidR="004A2EE1">
          <w:rPr>
            <w:noProof/>
            <w:webHidden/>
          </w:rPr>
        </w:r>
        <w:r w:rsidR="004A2EE1">
          <w:rPr>
            <w:noProof/>
            <w:webHidden/>
          </w:rPr>
          <w:fldChar w:fldCharType="separate"/>
        </w:r>
        <w:r w:rsidR="004A2EE1">
          <w:rPr>
            <w:noProof/>
            <w:webHidden/>
          </w:rPr>
          <w:t>6</w:t>
        </w:r>
        <w:r w:rsidR="004A2EE1">
          <w:rPr>
            <w:noProof/>
            <w:webHidden/>
          </w:rPr>
          <w:fldChar w:fldCharType="end"/>
        </w:r>
      </w:hyperlink>
    </w:p>
    <w:p w14:paraId="62DA18EE" w14:textId="393C1144" w:rsidR="004A2EE1" w:rsidRDefault="000562FC">
      <w:pPr>
        <w:pStyle w:val="TOC2"/>
        <w:rPr>
          <w:rFonts w:asciiTheme="minorHAnsi" w:eastAsiaTheme="minorEastAsia" w:hAnsiTheme="minorHAnsi"/>
          <w:noProof/>
          <w:color w:val="auto"/>
          <w:lang w:eastAsia="en-GB"/>
        </w:rPr>
      </w:pPr>
      <w:hyperlink w:anchor="_Toc18661789" w:history="1">
        <w:r w:rsidR="004A2EE1" w:rsidRPr="00BD33D2">
          <w:rPr>
            <w:rStyle w:val="Hyperlink"/>
            <w:noProof/>
          </w:rPr>
          <w:t>2.8 Confidentiality and Intellectual Property Rights</w:t>
        </w:r>
        <w:r w:rsidR="004A2EE1">
          <w:rPr>
            <w:noProof/>
            <w:webHidden/>
          </w:rPr>
          <w:tab/>
        </w:r>
        <w:r w:rsidR="004A2EE1">
          <w:rPr>
            <w:noProof/>
            <w:webHidden/>
          </w:rPr>
          <w:fldChar w:fldCharType="begin"/>
        </w:r>
        <w:r w:rsidR="004A2EE1">
          <w:rPr>
            <w:noProof/>
            <w:webHidden/>
          </w:rPr>
          <w:instrText xml:space="preserve"> PAGEREF _Toc18661789 \h </w:instrText>
        </w:r>
        <w:r w:rsidR="004A2EE1">
          <w:rPr>
            <w:noProof/>
            <w:webHidden/>
          </w:rPr>
        </w:r>
        <w:r w:rsidR="004A2EE1">
          <w:rPr>
            <w:noProof/>
            <w:webHidden/>
          </w:rPr>
          <w:fldChar w:fldCharType="separate"/>
        </w:r>
        <w:r w:rsidR="004A2EE1">
          <w:rPr>
            <w:noProof/>
            <w:webHidden/>
          </w:rPr>
          <w:t>6</w:t>
        </w:r>
        <w:r w:rsidR="004A2EE1">
          <w:rPr>
            <w:noProof/>
            <w:webHidden/>
          </w:rPr>
          <w:fldChar w:fldCharType="end"/>
        </w:r>
      </w:hyperlink>
    </w:p>
    <w:p w14:paraId="63FB5E04" w14:textId="20B2F12A" w:rsidR="004A2EE1" w:rsidRDefault="000562FC">
      <w:pPr>
        <w:pStyle w:val="TOC2"/>
        <w:rPr>
          <w:rFonts w:asciiTheme="minorHAnsi" w:eastAsiaTheme="minorEastAsia" w:hAnsiTheme="minorHAnsi"/>
          <w:noProof/>
          <w:color w:val="auto"/>
          <w:lang w:eastAsia="en-GB"/>
        </w:rPr>
      </w:pPr>
      <w:hyperlink w:anchor="_Toc18661790" w:history="1">
        <w:r w:rsidR="004A2EE1" w:rsidRPr="00BD33D2">
          <w:rPr>
            <w:rStyle w:val="Hyperlink"/>
            <w:noProof/>
          </w:rPr>
          <w:t>2.9 Other Information</w:t>
        </w:r>
        <w:r w:rsidR="004A2EE1">
          <w:rPr>
            <w:noProof/>
            <w:webHidden/>
          </w:rPr>
          <w:tab/>
        </w:r>
        <w:r w:rsidR="004A2EE1">
          <w:rPr>
            <w:noProof/>
            <w:webHidden/>
          </w:rPr>
          <w:fldChar w:fldCharType="begin"/>
        </w:r>
        <w:r w:rsidR="004A2EE1">
          <w:rPr>
            <w:noProof/>
            <w:webHidden/>
          </w:rPr>
          <w:instrText xml:space="preserve"> PAGEREF _Toc18661790 \h </w:instrText>
        </w:r>
        <w:r w:rsidR="004A2EE1">
          <w:rPr>
            <w:noProof/>
            <w:webHidden/>
          </w:rPr>
        </w:r>
        <w:r w:rsidR="004A2EE1">
          <w:rPr>
            <w:noProof/>
            <w:webHidden/>
          </w:rPr>
          <w:fldChar w:fldCharType="separate"/>
        </w:r>
        <w:r w:rsidR="004A2EE1">
          <w:rPr>
            <w:noProof/>
            <w:webHidden/>
          </w:rPr>
          <w:t>7</w:t>
        </w:r>
        <w:r w:rsidR="004A2EE1">
          <w:rPr>
            <w:noProof/>
            <w:webHidden/>
          </w:rPr>
          <w:fldChar w:fldCharType="end"/>
        </w:r>
      </w:hyperlink>
    </w:p>
    <w:p w14:paraId="3D52AD73" w14:textId="64E0898B" w:rsidR="004A2EE1" w:rsidRDefault="000562FC">
      <w:pPr>
        <w:pStyle w:val="TOC1"/>
        <w:rPr>
          <w:rFonts w:asciiTheme="minorHAnsi" w:eastAsiaTheme="minorEastAsia" w:hAnsiTheme="minorHAnsi"/>
          <w:b w:val="0"/>
          <w:noProof/>
          <w:color w:val="auto"/>
          <w:lang w:eastAsia="en-GB"/>
        </w:rPr>
      </w:pPr>
      <w:hyperlink w:anchor="_Toc18661791" w:history="1">
        <w:r w:rsidR="004A2EE1" w:rsidRPr="00BD33D2">
          <w:rPr>
            <w:rStyle w:val="Hyperlink"/>
            <w:noProof/>
          </w:rPr>
          <w:t>3 Selection Criteria</w:t>
        </w:r>
        <w:r w:rsidR="004A2EE1">
          <w:rPr>
            <w:noProof/>
            <w:webHidden/>
          </w:rPr>
          <w:tab/>
        </w:r>
        <w:r w:rsidR="004A2EE1">
          <w:rPr>
            <w:noProof/>
            <w:webHidden/>
          </w:rPr>
          <w:fldChar w:fldCharType="begin"/>
        </w:r>
        <w:r w:rsidR="004A2EE1">
          <w:rPr>
            <w:noProof/>
            <w:webHidden/>
          </w:rPr>
          <w:instrText xml:space="preserve"> PAGEREF _Toc18661791 \h </w:instrText>
        </w:r>
        <w:r w:rsidR="004A2EE1">
          <w:rPr>
            <w:noProof/>
            <w:webHidden/>
          </w:rPr>
        </w:r>
        <w:r w:rsidR="004A2EE1">
          <w:rPr>
            <w:noProof/>
            <w:webHidden/>
          </w:rPr>
          <w:fldChar w:fldCharType="separate"/>
        </w:r>
        <w:r w:rsidR="004A2EE1">
          <w:rPr>
            <w:noProof/>
            <w:webHidden/>
          </w:rPr>
          <w:t>8</w:t>
        </w:r>
        <w:r w:rsidR="004A2EE1">
          <w:rPr>
            <w:noProof/>
            <w:webHidden/>
          </w:rPr>
          <w:fldChar w:fldCharType="end"/>
        </w:r>
      </w:hyperlink>
    </w:p>
    <w:p w14:paraId="27D4E122" w14:textId="4CDB13E2" w:rsidR="004A2EE1" w:rsidRDefault="000562FC">
      <w:pPr>
        <w:pStyle w:val="TOC1"/>
        <w:rPr>
          <w:rFonts w:asciiTheme="minorHAnsi" w:eastAsiaTheme="minorEastAsia" w:hAnsiTheme="minorHAnsi"/>
          <w:b w:val="0"/>
          <w:noProof/>
          <w:color w:val="auto"/>
          <w:lang w:eastAsia="en-GB"/>
        </w:rPr>
      </w:pPr>
      <w:hyperlink w:anchor="_Toc18661792" w:history="1">
        <w:r w:rsidR="004A2EE1" w:rsidRPr="00BD33D2">
          <w:rPr>
            <w:rStyle w:val="Hyperlink"/>
            <w:noProof/>
          </w:rPr>
          <w:t>Appendix A - Prequalific</w:t>
        </w:r>
        <w:r w:rsidR="004A2EE1" w:rsidRPr="00BD33D2">
          <w:rPr>
            <w:rStyle w:val="Hyperlink"/>
            <w:noProof/>
          </w:rPr>
          <w:t>a</w:t>
        </w:r>
        <w:r w:rsidR="004A2EE1" w:rsidRPr="00BD33D2">
          <w:rPr>
            <w:rStyle w:val="Hyperlink"/>
            <w:noProof/>
          </w:rPr>
          <w:t>tion Questionnaire</w:t>
        </w:r>
        <w:r w:rsidR="004A2EE1">
          <w:rPr>
            <w:noProof/>
            <w:webHidden/>
          </w:rPr>
          <w:tab/>
        </w:r>
        <w:r w:rsidR="004A2EE1">
          <w:rPr>
            <w:noProof/>
            <w:webHidden/>
          </w:rPr>
          <w:fldChar w:fldCharType="begin"/>
        </w:r>
        <w:r w:rsidR="004A2EE1">
          <w:rPr>
            <w:noProof/>
            <w:webHidden/>
          </w:rPr>
          <w:instrText xml:space="preserve"> PAGEREF _Toc18661792 \h </w:instrText>
        </w:r>
        <w:r w:rsidR="004A2EE1">
          <w:rPr>
            <w:noProof/>
            <w:webHidden/>
          </w:rPr>
        </w:r>
        <w:r w:rsidR="004A2EE1">
          <w:rPr>
            <w:noProof/>
            <w:webHidden/>
          </w:rPr>
          <w:fldChar w:fldCharType="separate"/>
        </w:r>
        <w:r w:rsidR="004A2EE1">
          <w:rPr>
            <w:noProof/>
            <w:webHidden/>
          </w:rPr>
          <w:t>9</w:t>
        </w:r>
        <w:r w:rsidR="004A2EE1">
          <w:rPr>
            <w:noProof/>
            <w:webHidden/>
          </w:rPr>
          <w:fldChar w:fldCharType="end"/>
        </w:r>
      </w:hyperlink>
    </w:p>
    <w:p w14:paraId="1D487B7A" w14:textId="670CE5ED" w:rsidR="005A41BE" w:rsidRDefault="004F06B0" w:rsidP="005A41BE">
      <w:r>
        <w:fldChar w:fldCharType="end"/>
      </w:r>
    </w:p>
    <w:p w14:paraId="00B5B3DE" w14:textId="77777777" w:rsidR="005A41BE" w:rsidRDefault="005A41BE" w:rsidP="005A41BE"/>
    <w:p w14:paraId="49BD37E1" w14:textId="77777777" w:rsidR="005A41BE" w:rsidRDefault="005A41BE" w:rsidP="005A41BE">
      <w:pPr>
        <w:sectPr w:rsidR="005A41BE" w:rsidSect="00EE579E">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cols w:space="708"/>
          <w:titlePg/>
          <w:docGrid w:linePitch="360"/>
        </w:sectPr>
      </w:pPr>
    </w:p>
    <w:p w14:paraId="078A9B15" w14:textId="77777777" w:rsidR="00CF67C9" w:rsidRDefault="00CF67C9" w:rsidP="00CF67C9">
      <w:pPr>
        <w:pStyle w:val="Heading1"/>
      </w:pPr>
      <w:bookmarkStart w:id="0" w:name="_Toc18661778"/>
      <w:bookmarkStart w:id="1" w:name="_Toc423599379"/>
      <w:r>
        <w:t>Introduction</w:t>
      </w:r>
      <w:bookmarkEnd w:id="0"/>
    </w:p>
    <w:p w14:paraId="44B2BD7B" w14:textId="569BBC71" w:rsidR="00CF67C9" w:rsidRPr="00CF67C9" w:rsidRDefault="00CF67C9" w:rsidP="00CF67C9">
      <w:pPr>
        <w:pStyle w:val="Heading2"/>
      </w:pPr>
      <w:bookmarkStart w:id="2" w:name="_Toc18661779"/>
      <w:r>
        <w:t>SGN Overview</w:t>
      </w:r>
      <w:bookmarkEnd w:id="2"/>
    </w:p>
    <w:p w14:paraId="22D4D2C9" w14:textId="33718373" w:rsidR="00CF67C9" w:rsidRDefault="00CF67C9" w:rsidP="004E4EB4">
      <w:pPr>
        <w:spacing w:after="0"/>
      </w:pPr>
      <w:r>
        <w:t>SGN is one of the UK’s largest and most innovative gas distribution network companies, operating across Scotland, southern England and in Northern Ireland.</w:t>
      </w:r>
    </w:p>
    <w:p w14:paraId="24CCA3C7" w14:textId="77777777" w:rsidR="00CF67C9" w:rsidRPr="00CF67C9" w:rsidRDefault="00CF67C9" w:rsidP="004E4EB4">
      <w:pPr>
        <w:spacing w:after="0"/>
      </w:pPr>
    </w:p>
    <w:p w14:paraId="59A72D34" w14:textId="64C918B8" w:rsidR="00CF67C9" w:rsidRDefault="00CF67C9" w:rsidP="004E4EB4">
      <w:pPr>
        <w:spacing w:after="0"/>
      </w:pPr>
      <w:r>
        <w:t xml:space="preserve">Our Scotland network distributes gas across all of Scotland to 75% of households, including remote areas through the Scottish Independent Undertakings (SIUs) at Stornoway, Wick, Thurso, Oban and </w:t>
      </w:r>
      <w:proofErr w:type="spellStart"/>
      <w:r>
        <w:t>Campbeltown</w:t>
      </w:r>
      <w:proofErr w:type="spellEnd"/>
      <w:r>
        <w:t>.</w:t>
      </w:r>
    </w:p>
    <w:p w14:paraId="11C63A6A" w14:textId="77777777" w:rsidR="00CF67C9" w:rsidRPr="00CF67C9" w:rsidRDefault="00CF67C9" w:rsidP="004E4EB4">
      <w:pPr>
        <w:spacing w:after="0"/>
      </w:pPr>
    </w:p>
    <w:p w14:paraId="672AED34" w14:textId="037E1FA0" w:rsidR="00CF67C9" w:rsidRDefault="00CF67C9" w:rsidP="004E4EB4">
      <w:pPr>
        <w:spacing w:after="0"/>
      </w:pPr>
      <w:r>
        <w:t xml:space="preserve">In Northern Ireland we have been granted the licence to bring natural gas to eight towns in the west, constructing high, intermediate and </w:t>
      </w:r>
      <w:proofErr w:type="gramStart"/>
      <w:r>
        <w:t>low pressure</w:t>
      </w:r>
      <w:proofErr w:type="gramEnd"/>
      <w:r>
        <w:t xml:space="preserve"> pipelines and mains. We are also contracted to maintain the gas transmission system and maintain the assets for the gas pipeline connection between Northern Ireland and Scotland.</w:t>
      </w:r>
    </w:p>
    <w:p w14:paraId="188FEECE" w14:textId="77777777" w:rsidR="00CF67C9" w:rsidRPr="00CF67C9" w:rsidRDefault="00CF67C9" w:rsidP="004E4EB4">
      <w:pPr>
        <w:spacing w:after="0"/>
      </w:pPr>
    </w:p>
    <w:p w14:paraId="718ABE49" w14:textId="77777777" w:rsidR="00CF67C9" w:rsidRDefault="00CF67C9" w:rsidP="004E4EB4">
      <w:pPr>
        <w:spacing w:after="0"/>
      </w:pPr>
      <w:r>
        <w:t>Our Southern network stretches from Milton Keynes in the north, to Dover in the east and Lyme Regis in the west, including London boroughs to the south of the River Thames, distributing gas to around 90% of households.</w:t>
      </w:r>
    </w:p>
    <w:p w14:paraId="563FCDEC" w14:textId="77777777" w:rsidR="00CF67C9" w:rsidRDefault="00CF67C9" w:rsidP="004E4EB4">
      <w:pPr>
        <w:spacing w:after="0"/>
        <w:rPr>
          <w:noProof/>
        </w:rPr>
      </w:pPr>
    </w:p>
    <w:p w14:paraId="6A4A3D2D" w14:textId="68F06B2F" w:rsidR="00CF67C9" w:rsidRDefault="00CF67C9" w:rsidP="004E4EB4">
      <w:pPr>
        <w:spacing w:after="0"/>
        <w:rPr>
          <w:noProof/>
        </w:rPr>
      </w:pPr>
      <w:r>
        <w:rPr>
          <w:noProof/>
        </w:rPr>
        <w:t>SGN Network Coverage:</w:t>
      </w:r>
    </w:p>
    <w:p w14:paraId="20B05921" w14:textId="77777777" w:rsidR="00CF67C9" w:rsidRDefault="00CF67C9" w:rsidP="00CF67C9">
      <w:pPr>
        <w:rPr>
          <w:noProof/>
        </w:rPr>
      </w:pPr>
    </w:p>
    <w:p w14:paraId="4542C1D5" w14:textId="3D19C53C" w:rsidR="00CF67C9" w:rsidRDefault="00CF67C9" w:rsidP="00CF67C9">
      <w:r w:rsidRPr="00CF67C9">
        <w:rPr>
          <w:noProof/>
        </w:rPr>
        <w:t xml:space="preserve"> </w:t>
      </w:r>
      <w:r>
        <w:rPr>
          <w:noProof/>
        </w:rPr>
        <w:drawing>
          <wp:inline distT="0" distB="0" distL="0" distR="0" wp14:anchorId="34862DBA" wp14:editId="1A950AEB">
            <wp:extent cx="2886075" cy="40144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7577" cy="4016559"/>
                    </a:xfrm>
                    <a:prstGeom prst="rect">
                      <a:avLst/>
                    </a:prstGeom>
                    <a:noFill/>
                    <a:ln>
                      <a:noFill/>
                    </a:ln>
                  </pic:spPr>
                </pic:pic>
              </a:graphicData>
            </a:graphic>
          </wp:inline>
        </w:drawing>
      </w:r>
    </w:p>
    <w:p w14:paraId="4A015E8E" w14:textId="3AA9FA49" w:rsidR="00CF67C9" w:rsidRDefault="00CF67C9" w:rsidP="00CF67C9">
      <w:pPr>
        <w:pStyle w:val="Heading1"/>
        <w:numPr>
          <w:ilvl w:val="0"/>
          <w:numId w:val="0"/>
        </w:numPr>
      </w:pPr>
    </w:p>
    <w:p w14:paraId="25F396F7" w14:textId="0CF35069" w:rsidR="004E4EB4" w:rsidRDefault="004E4EB4" w:rsidP="004E4EB4"/>
    <w:p w14:paraId="6D6074FA" w14:textId="2C7C74EA" w:rsidR="004E4EB4" w:rsidRDefault="004E4EB4" w:rsidP="004E4EB4"/>
    <w:p w14:paraId="3D9E021C" w14:textId="77777777" w:rsidR="004E4EB4" w:rsidRPr="004E4EB4" w:rsidRDefault="004E4EB4" w:rsidP="004E4EB4"/>
    <w:p w14:paraId="1DF5CB38" w14:textId="52FC4E5C" w:rsidR="00CF67C9" w:rsidRDefault="00CF67C9" w:rsidP="00CF67C9">
      <w:pPr>
        <w:pStyle w:val="Heading2"/>
      </w:pPr>
      <w:bookmarkStart w:id="3" w:name="_Toc18661780"/>
      <w:r>
        <w:t>Our Values</w:t>
      </w:r>
      <w:bookmarkEnd w:id="3"/>
    </w:p>
    <w:p w14:paraId="243B1246" w14:textId="77777777" w:rsidR="00CF67C9" w:rsidRDefault="00CF67C9" w:rsidP="00CF67C9">
      <w:pPr>
        <w:spacing w:after="0"/>
        <w:rPr>
          <w:b/>
          <w:color w:val="002249" w:themeColor="accent2"/>
        </w:rPr>
      </w:pPr>
      <w:r w:rsidRPr="005444E2">
        <w:rPr>
          <w:b/>
          <w:color w:val="002249" w:themeColor="accent2"/>
        </w:rPr>
        <w:t>Safety</w:t>
      </w:r>
      <w:r w:rsidRPr="0034077C">
        <w:rPr>
          <w:b/>
        </w:rPr>
        <w:t xml:space="preserve"> </w:t>
      </w:r>
      <w:r w:rsidRPr="005444E2">
        <w:rPr>
          <w:b/>
          <w:color w:val="002249" w:themeColor="accent2"/>
        </w:rPr>
        <w:t>first</w:t>
      </w:r>
    </w:p>
    <w:p w14:paraId="0938CA58" w14:textId="77777777" w:rsidR="00CF67C9" w:rsidRDefault="00CF67C9" w:rsidP="00CF67C9">
      <w:pPr>
        <w:spacing w:after="0"/>
      </w:pPr>
      <w:r w:rsidRPr="005444E2">
        <w:t>We take responsibility for our own safety and the safety of those around us</w:t>
      </w:r>
    </w:p>
    <w:p w14:paraId="62B74D4F" w14:textId="77777777" w:rsidR="00CF67C9" w:rsidRPr="005444E2" w:rsidRDefault="00CF67C9" w:rsidP="00CF67C9">
      <w:pPr>
        <w:spacing w:after="0"/>
      </w:pPr>
    </w:p>
    <w:p w14:paraId="2D1DCA82" w14:textId="77777777" w:rsidR="00CF67C9" w:rsidRDefault="00CF67C9" w:rsidP="00CF67C9">
      <w:pPr>
        <w:spacing w:after="0"/>
        <w:rPr>
          <w:b/>
          <w:color w:val="002249" w:themeColor="accent2"/>
        </w:rPr>
      </w:pPr>
      <w:r w:rsidRPr="005444E2">
        <w:rPr>
          <w:b/>
          <w:color w:val="002249" w:themeColor="accent2"/>
        </w:rPr>
        <w:t>Driving</w:t>
      </w:r>
      <w:r w:rsidRPr="0034077C">
        <w:rPr>
          <w:b/>
        </w:rPr>
        <w:t xml:space="preserve"> </w:t>
      </w:r>
      <w:r w:rsidRPr="005444E2">
        <w:rPr>
          <w:b/>
          <w:color w:val="002249" w:themeColor="accent2"/>
        </w:rPr>
        <w:t>performance</w:t>
      </w:r>
    </w:p>
    <w:p w14:paraId="6AEEABE6" w14:textId="77777777" w:rsidR="00CF67C9" w:rsidRDefault="00CF67C9" w:rsidP="00CF67C9">
      <w:pPr>
        <w:spacing w:after="0"/>
      </w:pPr>
      <w:r w:rsidRPr="005444E2">
        <w:t>Efficiency, innovation and continuous improvement will help us deliver excellence and achieve commercial success</w:t>
      </w:r>
    </w:p>
    <w:p w14:paraId="61458C1E" w14:textId="77777777" w:rsidR="00CF67C9" w:rsidRDefault="00CF67C9" w:rsidP="00CF67C9">
      <w:pPr>
        <w:spacing w:after="0"/>
      </w:pPr>
    </w:p>
    <w:p w14:paraId="441D3496" w14:textId="77777777" w:rsidR="00CF67C9" w:rsidRDefault="00CF67C9" w:rsidP="00CF67C9">
      <w:pPr>
        <w:spacing w:after="0"/>
        <w:rPr>
          <w:b/>
          <w:color w:val="002249" w:themeColor="accent2"/>
        </w:rPr>
      </w:pPr>
      <w:r w:rsidRPr="005444E2">
        <w:rPr>
          <w:b/>
          <w:color w:val="002249" w:themeColor="accent2"/>
        </w:rPr>
        <w:t>Putting people at the heart</w:t>
      </w:r>
    </w:p>
    <w:p w14:paraId="2F774898" w14:textId="77777777" w:rsidR="00CF67C9" w:rsidRDefault="00CF67C9" w:rsidP="00CF67C9">
      <w:pPr>
        <w:spacing w:after="0"/>
        <w:rPr>
          <w:i/>
        </w:rPr>
      </w:pPr>
      <w:r w:rsidRPr="005444E2">
        <w:rPr>
          <w:i/>
        </w:rPr>
        <w:t>We always work together, talk honestly and treat people with respect</w:t>
      </w:r>
    </w:p>
    <w:p w14:paraId="0E28AA7E" w14:textId="77777777" w:rsidR="00CF67C9" w:rsidRPr="005444E2" w:rsidRDefault="00CF67C9" w:rsidP="00CF67C9">
      <w:pPr>
        <w:spacing w:after="0"/>
        <w:rPr>
          <w:i/>
        </w:rPr>
      </w:pPr>
    </w:p>
    <w:p w14:paraId="49214AE3" w14:textId="77777777" w:rsidR="00CF67C9" w:rsidRDefault="00CF67C9" w:rsidP="00CF67C9">
      <w:pPr>
        <w:spacing w:after="0"/>
        <w:rPr>
          <w:b/>
          <w:color w:val="002249" w:themeColor="accent2"/>
        </w:rPr>
      </w:pPr>
      <w:r w:rsidRPr="005444E2">
        <w:rPr>
          <w:b/>
          <w:color w:val="002249" w:themeColor="accent2"/>
        </w:rPr>
        <w:t>Looking after customers</w:t>
      </w:r>
    </w:p>
    <w:p w14:paraId="1D42B943" w14:textId="77777777" w:rsidR="00CF67C9" w:rsidRDefault="00CF67C9" w:rsidP="00CF67C9">
      <w:pPr>
        <w:spacing w:after="0"/>
      </w:pPr>
      <w:r w:rsidRPr="005444E2">
        <w:t>By listening to our customers, understanding their needs and keeping our promises we can deliver an excellent service that people trust</w:t>
      </w:r>
    </w:p>
    <w:p w14:paraId="23CA0E2B" w14:textId="77777777" w:rsidR="00CF67C9" w:rsidRDefault="00CF67C9" w:rsidP="00CF67C9">
      <w:pPr>
        <w:spacing w:after="0"/>
        <w:rPr>
          <w:b/>
          <w:color w:val="002249" w:themeColor="accent2"/>
        </w:rPr>
      </w:pPr>
    </w:p>
    <w:p w14:paraId="198E3E65" w14:textId="77777777" w:rsidR="00CF67C9" w:rsidRDefault="00CF67C9" w:rsidP="00CF67C9">
      <w:pPr>
        <w:spacing w:after="0"/>
        <w:rPr>
          <w:b/>
          <w:color w:val="002249" w:themeColor="accent2"/>
        </w:rPr>
      </w:pPr>
      <w:r w:rsidRPr="005444E2">
        <w:rPr>
          <w:b/>
          <w:color w:val="002249" w:themeColor="accent2"/>
        </w:rPr>
        <w:t>Sustaining our world</w:t>
      </w:r>
    </w:p>
    <w:p w14:paraId="00FC7A11" w14:textId="400B7A9B" w:rsidR="00CF67C9" w:rsidRDefault="00CF67C9" w:rsidP="00CF67C9">
      <w:pPr>
        <w:spacing w:after="0"/>
      </w:pPr>
      <w:r w:rsidRPr="005444E2">
        <w:t>We maximise our effect on local communities and minimise our impact on the world</w:t>
      </w:r>
    </w:p>
    <w:p w14:paraId="136B719D" w14:textId="34A3C87D" w:rsidR="001B00DB" w:rsidRDefault="001B00DB">
      <w:pPr>
        <w:spacing w:after="200" w:line="276" w:lineRule="auto"/>
      </w:pPr>
      <w:r>
        <w:br w:type="page"/>
      </w:r>
    </w:p>
    <w:p w14:paraId="0A4F3024" w14:textId="77777777" w:rsidR="00CF67C9" w:rsidRDefault="00CF67C9" w:rsidP="00CF67C9">
      <w:pPr>
        <w:spacing w:after="0"/>
      </w:pPr>
    </w:p>
    <w:p w14:paraId="1FC02374" w14:textId="6D458868" w:rsidR="00CF67C9" w:rsidRPr="00CF67C9" w:rsidRDefault="00CF67C9" w:rsidP="00CF67C9">
      <w:pPr>
        <w:pStyle w:val="Heading1"/>
      </w:pPr>
      <w:bookmarkStart w:id="4" w:name="_Toc18314501"/>
      <w:bookmarkStart w:id="5" w:name="_Toc18661781"/>
      <w:r w:rsidRPr="00CF67C9">
        <w:t>Project Overview</w:t>
      </w:r>
      <w:bookmarkEnd w:id="4"/>
      <w:r w:rsidR="00B95556">
        <w:t xml:space="preserve"> / Instructions</w:t>
      </w:r>
      <w:bookmarkEnd w:id="5"/>
    </w:p>
    <w:p w14:paraId="54DC2D4A" w14:textId="77777777" w:rsidR="00CF67C9" w:rsidRPr="00CF67C9" w:rsidRDefault="00CF67C9" w:rsidP="00CF67C9">
      <w:pPr>
        <w:pStyle w:val="Heading2"/>
      </w:pPr>
      <w:bookmarkStart w:id="6" w:name="_Toc18314502"/>
      <w:bookmarkStart w:id="7" w:name="_Toc18661782"/>
      <w:r w:rsidRPr="00CF67C9">
        <w:t>Scope</w:t>
      </w:r>
      <w:bookmarkEnd w:id="6"/>
      <w:bookmarkEnd w:id="7"/>
    </w:p>
    <w:p w14:paraId="41599277" w14:textId="39EC0E64" w:rsidR="00CF67C9" w:rsidRDefault="00CF67C9" w:rsidP="00CF67C9">
      <w:pPr>
        <w:spacing w:after="0"/>
      </w:pPr>
      <w:r w:rsidRPr="0063496E">
        <w:t xml:space="preserve">SGN intends to appoint a Supplier to provide the design, manufacture, testing, inspection and delivery of up to 5 (five) </w:t>
      </w:r>
      <w:r w:rsidR="001B00DB">
        <w:t xml:space="preserve">45ft </w:t>
      </w:r>
      <w:r w:rsidRPr="0063496E">
        <w:t>transportable liquefied natural gas (LNG) ISO tanks.</w:t>
      </w:r>
      <w:r w:rsidR="00FA28FD">
        <w:t xml:space="preserve"> It is </w:t>
      </w:r>
      <w:r w:rsidR="0024115A">
        <w:t xml:space="preserve">our current </w:t>
      </w:r>
      <w:r w:rsidR="00FA28FD">
        <w:t>intention to procure 4 tanks, however provision will be included for an addition tank.</w:t>
      </w:r>
      <w:r w:rsidRPr="0063496E">
        <w:t xml:space="preserve"> The transportable LNG ISO tanks will be used to collect LNG from terminals, in both the United Kingdom and mainland Europe, for onward transportation and delivery to SGN’s LNG regasification plants in Scotland. Our target date for commissioning of the LNG ISO tanks is Summer/Autumn 2020.  </w:t>
      </w:r>
    </w:p>
    <w:p w14:paraId="2454BE51" w14:textId="77777777" w:rsidR="00CF67C9" w:rsidRPr="0063496E" w:rsidRDefault="00CF67C9" w:rsidP="00CF67C9">
      <w:pPr>
        <w:spacing w:after="0"/>
      </w:pPr>
    </w:p>
    <w:p w14:paraId="6215F028" w14:textId="77777777" w:rsidR="00CF67C9" w:rsidRDefault="00CF67C9" w:rsidP="00CF67C9">
      <w:pPr>
        <w:spacing w:after="0"/>
      </w:pPr>
      <w:r w:rsidRPr="0063496E">
        <w:t>The transportable LNG ISO tanks should be designed, manufactured, tested, inspected and certified to current UK and EU directives and legislation, and appropriate British, European, American and International technical codes and standards as appropriate. The units must comply with The Carriage of Dangerous Goods and Use of Transportable Pressure Equipment Regulations (CDG 2009) SI 2009, No 1348, and the provisions of: European Agreement Concerning the International Carriage of Dangerous Goods by Road (ADR); Regulations Concerning the International Carriage of Dangerous Goods by Rail (RID) for units which can be transported by rail; and The International Maritime Dangerous Goods Code (IMDG).</w:t>
      </w:r>
    </w:p>
    <w:p w14:paraId="7EAB1A59" w14:textId="77777777" w:rsidR="00CF67C9" w:rsidRPr="0063496E" w:rsidRDefault="00CF67C9" w:rsidP="00CF67C9">
      <w:pPr>
        <w:spacing w:after="0"/>
      </w:pPr>
    </w:p>
    <w:p w14:paraId="051ED726" w14:textId="3F2B9813" w:rsidR="00CF67C9" w:rsidRDefault="00CF67C9" w:rsidP="004E4EB4">
      <w:pPr>
        <w:pStyle w:val="Bullet1"/>
      </w:pPr>
      <w:r w:rsidRPr="0063496E">
        <w:t xml:space="preserve">LNG vessel is to be a cryogenic, vacuum insulated, ISO tank suitable for both LNG and liquid nitrogen (liquid nitrogen used for commissioning and maintenance purposes). </w:t>
      </w:r>
    </w:p>
    <w:p w14:paraId="5FEC8DDC" w14:textId="2AC26D86" w:rsidR="00CF67C9" w:rsidRDefault="00CF67C9" w:rsidP="004E4EB4">
      <w:pPr>
        <w:pStyle w:val="Bullet1"/>
      </w:pPr>
      <w:r w:rsidRPr="0063496E">
        <w:t xml:space="preserve">Vessels to be designed for maximum LNG payloads within legislative and code constraints, target payload </w:t>
      </w:r>
      <w:r w:rsidR="001B00DB">
        <w:t xml:space="preserve">above 19 </w:t>
      </w:r>
      <w:r w:rsidRPr="0063496E">
        <w:t>tonnes of LNG, based on a</w:t>
      </w:r>
      <w:r w:rsidR="001B00DB">
        <w:t>n</w:t>
      </w:r>
      <w:r w:rsidRPr="0063496E">
        <w:t xml:space="preserve"> </w:t>
      </w:r>
      <w:r w:rsidR="001B00DB">
        <w:t xml:space="preserve">LNG </w:t>
      </w:r>
      <w:r w:rsidRPr="0063496E">
        <w:t xml:space="preserve">density of 435kg/m3 and relief valve set point of 8.62 </w:t>
      </w:r>
      <w:proofErr w:type="spellStart"/>
      <w:r w:rsidRPr="0063496E">
        <w:t>barg</w:t>
      </w:r>
      <w:proofErr w:type="spellEnd"/>
      <w:r w:rsidRPr="0063496E">
        <w:t xml:space="preserve">. </w:t>
      </w:r>
    </w:p>
    <w:p w14:paraId="7F64DD54" w14:textId="0E840F1E" w:rsidR="00CF67C9" w:rsidRPr="0063496E" w:rsidRDefault="00CF67C9" w:rsidP="00CF67C9">
      <w:pPr>
        <w:pStyle w:val="Bullet1"/>
        <w:spacing w:after="0"/>
      </w:pPr>
      <w:r w:rsidRPr="0063496E">
        <w:t xml:space="preserve">Flow diagram with standard piping, valve and gauge layout to be provided by vendor and adhered to by the supplier. Note - there is no requirement for the vessels to be fitted with a </w:t>
      </w:r>
      <w:r w:rsidR="001B00DB">
        <w:t xml:space="preserve">discharge </w:t>
      </w:r>
      <w:r w:rsidRPr="0063496E">
        <w:t xml:space="preserve">pump. </w:t>
      </w:r>
    </w:p>
    <w:p w14:paraId="5B8BD1A1" w14:textId="676BABF7" w:rsidR="00CF67C9" w:rsidRDefault="00CF67C9" w:rsidP="004E4EB4">
      <w:pPr>
        <w:pStyle w:val="Bullet1"/>
      </w:pPr>
      <w:r w:rsidRPr="0063496E">
        <w:t xml:space="preserve">Commercial proposal to consider and include design, manufacture, testing, inspection and certification of the vessel, as well as delivery of units to a specified location </w:t>
      </w:r>
      <w:r w:rsidR="00F44810">
        <w:t xml:space="preserve">in </w:t>
      </w:r>
      <w:r w:rsidRPr="0063496E">
        <w:t xml:space="preserve">Scotland, with complete engineering and construction records plus operations manual required prior to receipt of each unit. </w:t>
      </w:r>
    </w:p>
    <w:p w14:paraId="11B1BAC2" w14:textId="6D11742C" w:rsidR="001B00DB" w:rsidRDefault="001B00DB" w:rsidP="004E4EB4">
      <w:pPr>
        <w:pStyle w:val="Bullet1"/>
      </w:pPr>
      <w:r>
        <w:t>ISO Tanks dimension constraints set to 13,716mm x 2,438mm x 2,591mm (</w:t>
      </w:r>
      <w:proofErr w:type="spellStart"/>
      <w:r>
        <w:t>LxBxH</w:t>
      </w:r>
      <w:proofErr w:type="spellEnd"/>
      <w:r>
        <w:t>)</w:t>
      </w:r>
    </w:p>
    <w:p w14:paraId="1DF5FFE8" w14:textId="77777777" w:rsidR="00CF67C9" w:rsidRPr="0063496E" w:rsidRDefault="00CF67C9" w:rsidP="00CF67C9">
      <w:pPr>
        <w:spacing w:after="0"/>
      </w:pPr>
    </w:p>
    <w:p w14:paraId="016728C6" w14:textId="5B65FAE9" w:rsidR="00CF67C9" w:rsidRPr="0063496E" w:rsidRDefault="00B95556" w:rsidP="00CF67C9">
      <w:pPr>
        <w:spacing w:after="0"/>
        <w:rPr>
          <w:b/>
          <w:u w:val="single"/>
        </w:rPr>
      </w:pPr>
      <w:r>
        <w:rPr>
          <w:b/>
          <w:u w:val="single"/>
        </w:rPr>
        <w:t xml:space="preserve">A full technical specification will be contained within the Invitation to Tender pack. </w:t>
      </w:r>
    </w:p>
    <w:p w14:paraId="6D93DDF6" w14:textId="77777777" w:rsidR="00CF67C9" w:rsidRDefault="00CF67C9" w:rsidP="00CF67C9">
      <w:pPr>
        <w:spacing w:after="0"/>
        <w:rPr>
          <w:b/>
        </w:rPr>
      </w:pPr>
    </w:p>
    <w:p w14:paraId="5CB722BF" w14:textId="77777777" w:rsidR="00CF67C9" w:rsidRPr="00CF67C9" w:rsidRDefault="00CF67C9" w:rsidP="00CF67C9">
      <w:pPr>
        <w:pStyle w:val="Heading2"/>
      </w:pPr>
      <w:bookmarkStart w:id="8" w:name="_Toc18314503"/>
      <w:bookmarkStart w:id="9" w:name="_Toc18661783"/>
      <w:r w:rsidRPr="00CF67C9">
        <w:t>EU Procurement Directives</w:t>
      </w:r>
      <w:bookmarkEnd w:id="8"/>
      <w:bookmarkEnd w:id="9"/>
    </w:p>
    <w:p w14:paraId="03BD332C" w14:textId="3F846E40" w:rsidR="00CF67C9" w:rsidRDefault="00CF67C9" w:rsidP="00CF67C9">
      <w:pPr>
        <w:spacing w:after="0"/>
      </w:pPr>
      <w:r w:rsidRPr="00A36393">
        <w:t>Th</w:t>
      </w:r>
      <w:r>
        <w:t>is</w:t>
      </w:r>
      <w:r w:rsidRPr="00A36393">
        <w:t xml:space="preserve"> procurement is </w:t>
      </w:r>
      <w:r>
        <w:t xml:space="preserve">being carried out under the </w:t>
      </w:r>
      <w:r w:rsidR="00B95556">
        <w:t>Negotiated</w:t>
      </w:r>
      <w:r>
        <w:t xml:space="preserve"> Procedure in terms of the </w:t>
      </w:r>
      <w:r w:rsidRPr="00A36393">
        <w:t>Utilities Contracts (Scotland) Regulations 2016.</w:t>
      </w:r>
    </w:p>
    <w:p w14:paraId="0C60C547" w14:textId="77777777" w:rsidR="00CF67C9" w:rsidRDefault="00CF67C9" w:rsidP="00CF67C9">
      <w:pPr>
        <w:spacing w:after="0"/>
      </w:pPr>
    </w:p>
    <w:p w14:paraId="777CE14C" w14:textId="77777777" w:rsidR="00CF67C9" w:rsidRPr="00CF67C9" w:rsidRDefault="00CF67C9" w:rsidP="00CF67C9">
      <w:pPr>
        <w:pStyle w:val="Heading2"/>
      </w:pPr>
      <w:bookmarkStart w:id="10" w:name="_Toc18314504"/>
      <w:bookmarkStart w:id="11" w:name="_Toc18661784"/>
      <w:r w:rsidRPr="00CF67C9">
        <w:t>Timetable</w:t>
      </w:r>
      <w:bookmarkEnd w:id="10"/>
      <w:bookmarkEnd w:id="11"/>
      <w:r w:rsidRPr="00CF67C9">
        <w:t xml:space="preserve"> </w:t>
      </w:r>
    </w:p>
    <w:p w14:paraId="7348644A" w14:textId="06A5CD4A" w:rsidR="00CF67C9" w:rsidRPr="00C91FE8" w:rsidRDefault="00CF67C9" w:rsidP="00CF67C9">
      <w:pPr>
        <w:spacing w:after="0"/>
      </w:pPr>
      <w:r>
        <w:t xml:space="preserve">The </w:t>
      </w:r>
      <w:r w:rsidR="001B00DB">
        <w:t xml:space="preserve">provisional </w:t>
      </w:r>
      <w:r>
        <w:t xml:space="preserve">procurement timetable is set out below. </w:t>
      </w:r>
    </w:p>
    <w:p w14:paraId="3C0117FB" w14:textId="76484189" w:rsidR="00CF67C9" w:rsidRDefault="00CF67C9" w:rsidP="00CF67C9">
      <w:pPr>
        <w:spacing w:after="0"/>
      </w:pPr>
    </w:p>
    <w:tbl>
      <w:tblPr>
        <w:tblStyle w:val="LightGrid-Accent1"/>
        <w:tblW w:w="0" w:type="auto"/>
        <w:tblLook w:val="04A0" w:firstRow="1" w:lastRow="0" w:firstColumn="1" w:lastColumn="0" w:noHBand="0" w:noVBand="1"/>
      </w:tblPr>
      <w:tblGrid>
        <w:gridCol w:w="3251"/>
        <w:gridCol w:w="4252"/>
      </w:tblGrid>
      <w:tr w:rsidR="00CF67C9" w14:paraId="7D387170" w14:textId="77777777" w:rsidTr="003823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25505FB9" w14:textId="76A41AFB" w:rsidR="00CF67C9" w:rsidRDefault="00CF67C9" w:rsidP="00CF67C9">
            <w:r w:rsidRPr="00D10C62">
              <w:rPr>
                <w:rFonts w:asciiTheme="minorHAnsi" w:hAnsiTheme="minorHAnsi" w:cstheme="minorHAnsi"/>
              </w:rPr>
              <w:t>Event</w:t>
            </w:r>
          </w:p>
        </w:tc>
        <w:tc>
          <w:tcPr>
            <w:tcW w:w="4252" w:type="dxa"/>
          </w:tcPr>
          <w:p w14:paraId="1774F71A" w14:textId="10ABF9F6" w:rsidR="00CF67C9" w:rsidRDefault="00CF67C9" w:rsidP="00CF67C9">
            <w:pPr>
              <w:cnfStyle w:val="100000000000" w:firstRow="1" w:lastRow="0" w:firstColumn="0" w:lastColumn="0" w:oddVBand="0" w:evenVBand="0" w:oddHBand="0" w:evenHBand="0" w:firstRowFirstColumn="0" w:firstRowLastColumn="0" w:lastRowFirstColumn="0" w:lastRowLastColumn="0"/>
            </w:pPr>
            <w:r w:rsidRPr="00D10C62">
              <w:rPr>
                <w:rFonts w:asciiTheme="minorHAnsi" w:hAnsiTheme="minorHAnsi" w:cstheme="minorHAnsi"/>
              </w:rPr>
              <w:t>Estimated Date or Date Range</w:t>
            </w:r>
          </w:p>
        </w:tc>
      </w:tr>
      <w:tr w:rsidR="00CF67C9" w14:paraId="18CEAF2D" w14:textId="77777777" w:rsidTr="00382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7964E373" w14:textId="18792F0E" w:rsidR="00CF67C9" w:rsidRDefault="00B95556" w:rsidP="00CF67C9">
            <w:r>
              <w:rPr>
                <w:rFonts w:asciiTheme="minorHAnsi" w:hAnsiTheme="minorHAnsi" w:cstheme="minorHAnsi"/>
              </w:rPr>
              <w:t>PQQ</w:t>
            </w:r>
            <w:r w:rsidR="00CF67C9" w:rsidRPr="00D10C62">
              <w:rPr>
                <w:rFonts w:asciiTheme="minorHAnsi" w:hAnsiTheme="minorHAnsi" w:cstheme="minorHAnsi"/>
              </w:rPr>
              <w:t xml:space="preserve"> Issued</w:t>
            </w:r>
          </w:p>
        </w:tc>
        <w:tc>
          <w:tcPr>
            <w:tcW w:w="4252" w:type="dxa"/>
          </w:tcPr>
          <w:p w14:paraId="2E76A618" w14:textId="47C538E3" w:rsidR="00CF67C9" w:rsidRDefault="001B00DB" w:rsidP="00CF67C9">
            <w:pPr>
              <w:cnfStyle w:val="000000100000" w:firstRow="0" w:lastRow="0" w:firstColumn="0" w:lastColumn="0" w:oddVBand="0" w:evenVBand="0" w:oddHBand="1" w:evenHBand="0" w:firstRowFirstColumn="0" w:firstRowLastColumn="0" w:lastRowFirstColumn="0" w:lastRowLastColumn="0"/>
            </w:pPr>
            <w:r>
              <w:t>9 September 2019</w:t>
            </w:r>
          </w:p>
        </w:tc>
      </w:tr>
      <w:tr w:rsidR="00CF67C9" w14:paraId="455B075A" w14:textId="77777777" w:rsidTr="003823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4C231DA0" w14:textId="67D14C12" w:rsidR="00CF67C9" w:rsidRDefault="00CF67C9" w:rsidP="00CF67C9">
            <w:r w:rsidRPr="00D10C62">
              <w:rPr>
                <w:rFonts w:asciiTheme="minorHAnsi" w:hAnsiTheme="minorHAnsi" w:cstheme="minorHAnsi"/>
              </w:rPr>
              <w:t xml:space="preserve">Deadline for </w:t>
            </w:r>
            <w:r w:rsidR="00B95556">
              <w:rPr>
                <w:rFonts w:asciiTheme="minorHAnsi" w:hAnsiTheme="minorHAnsi" w:cstheme="minorHAnsi"/>
              </w:rPr>
              <w:t>PQQ submission</w:t>
            </w:r>
          </w:p>
        </w:tc>
        <w:tc>
          <w:tcPr>
            <w:tcW w:w="4252" w:type="dxa"/>
          </w:tcPr>
          <w:p w14:paraId="7A345984" w14:textId="0C4492D0" w:rsidR="00CF67C9" w:rsidRDefault="001B00DB" w:rsidP="00CF67C9">
            <w:pPr>
              <w:cnfStyle w:val="000000010000" w:firstRow="0" w:lastRow="0" w:firstColumn="0" w:lastColumn="0" w:oddVBand="0" w:evenVBand="0" w:oddHBand="0" w:evenHBand="1" w:firstRowFirstColumn="0" w:firstRowLastColumn="0" w:lastRowFirstColumn="0" w:lastRowLastColumn="0"/>
            </w:pPr>
            <w:r>
              <w:t>12 noon 9 October 2019</w:t>
            </w:r>
          </w:p>
        </w:tc>
      </w:tr>
      <w:tr w:rsidR="00CF67C9" w14:paraId="07F4E261" w14:textId="77777777" w:rsidTr="00382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5035DED6" w14:textId="169C7541" w:rsidR="00CF67C9" w:rsidRDefault="00B95556" w:rsidP="00CF67C9">
            <w:r>
              <w:t>Invitation to Tender (ITT) Issued</w:t>
            </w:r>
          </w:p>
        </w:tc>
        <w:tc>
          <w:tcPr>
            <w:tcW w:w="4252" w:type="dxa"/>
          </w:tcPr>
          <w:p w14:paraId="3DB29B19" w14:textId="34BEACBB" w:rsidR="00CF67C9" w:rsidRDefault="001B00DB" w:rsidP="00CF67C9">
            <w:pPr>
              <w:cnfStyle w:val="000000100000" w:firstRow="0" w:lastRow="0" w:firstColumn="0" w:lastColumn="0" w:oddVBand="0" w:evenVBand="0" w:oddHBand="1" w:evenHBand="0" w:firstRowFirstColumn="0" w:firstRowLastColumn="0" w:lastRowFirstColumn="0" w:lastRowLastColumn="0"/>
            </w:pPr>
            <w:r>
              <w:t>11 October 2019</w:t>
            </w:r>
          </w:p>
        </w:tc>
      </w:tr>
      <w:tr w:rsidR="00B95556" w14:paraId="6EB5FAC8" w14:textId="77777777" w:rsidTr="003823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01899613" w14:textId="550EF73A" w:rsidR="00B95556" w:rsidRDefault="00B95556" w:rsidP="00CF67C9">
            <w:r>
              <w:t>Deadline for ITT</w:t>
            </w:r>
          </w:p>
        </w:tc>
        <w:tc>
          <w:tcPr>
            <w:tcW w:w="4252" w:type="dxa"/>
          </w:tcPr>
          <w:p w14:paraId="164EF913" w14:textId="74297E25" w:rsidR="00B95556" w:rsidRDefault="001B00DB" w:rsidP="00CF67C9">
            <w:pPr>
              <w:cnfStyle w:val="000000010000" w:firstRow="0" w:lastRow="0" w:firstColumn="0" w:lastColumn="0" w:oddVBand="0" w:evenVBand="0" w:oddHBand="0" w:evenHBand="1" w:firstRowFirstColumn="0" w:firstRowLastColumn="0" w:lastRowFirstColumn="0" w:lastRowLastColumn="0"/>
            </w:pPr>
            <w:r>
              <w:t>23 October 2019</w:t>
            </w:r>
          </w:p>
        </w:tc>
      </w:tr>
      <w:tr w:rsidR="00CF67C9" w14:paraId="78C17D5B" w14:textId="77777777" w:rsidTr="00382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531D1B7A" w14:textId="4C0D5A25" w:rsidR="00CF67C9" w:rsidRDefault="00B95556" w:rsidP="00CF67C9">
            <w:r>
              <w:t>Tender Evaluation</w:t>
            </w:r>
          </w:p>
        </w:tc>
        <w:tc>
          <w:tcPr>
            <w:tcW w:w="4252" w:type="dxa"/>
          </w:tcPr>
          <w:p w14:paraId="1EB3F4C2" w14:textId="690202FE" w:rsidR="00CF67C9" w:rsidRDefault="001B00DB" w:rsidP="00CF67C9">
            <w:pPr>
              <w:cnfStyle w:val="000000100000" w:firstRow="0" w:lastRow="0" w:firstColumn="0" w:lastColumn="0" w:oddVBand="0" w:evenVBand="0" w:oddHBand="1" w:evenHBand="0" w:firstRowFirstColumn="0" w:firstRowLastColumn="0" w:lastRowFirstColumn="0" w:lastRowLastColumn="0"/>
            </w:pPr>
            <w:r>
              <w:t>23 October – 20 November 2019</w:t>
            </w:r>
          </w:p>
        </w:tc>
      </w:tr>
      <w:tr w:rsidR="00CF67C9" w14:paraId="252FE073" w14:textId="77777777" w:rsidTr="003823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435D495D" w14:textId="7C61EC94" w:rsidR="00CF67C9" w:rsidRDefault="00CF67C9" w:rsidP="00CF67C9">
            <w:r w:rsidRPr="00D10C62">
              <w:rPr>
                <w:rFonts w:asciiTheme="minorHAnsi" w:hAnsiTheme="minorHAnsi" w:cstheme="minorHAnsi"/>
              </w:rPr>
              <w:t xml:space="preserve">Standstill </w:t>
            </w:r>
            <w:r w:rsidR="00B95556">
              <w:rPr>
                <w:rFonts w:asciiTheme="minorHAnsi" w:hAnsiTheme="minorHAnsi" w:cstheme="minorHAnsi"/>
              </w:rPr>
              <w:t>Period</w:t>
            </w:r>
          </w:p>
        </w:tc>
        <w:tc>
          <w:tcPr>
            <w:tcW w:w="4252" w:type="dxa"/>
          </w:tcPr>
          <w:p w14:paraId="6CD43CDD" w14:textId="3940DEE9" w:rsidR="00CF67C9" w:rsidRDefault="001B00DB" w:rsidP="00CF67C9">
            <w:pPr>
              <w:cnfStyle w:val="000000010000" w:firstRow="0" w:lastRow="0" w:firstColumn="0" w:lastColumn="0" w:oddVBand="0" w:evenVBand="0" w:oddHBand="0" w:evenHBand="1" w:firstRowFirstColumn="0" w:firstRowLastColumn="0" w:lastRowFirstColumn="0" w:lastRowLastColumn="0"/>
            </w:pPr>
            <w:r>
              <w:t>29 November – 9 December 2019</w:t>
            </w:r>
          </w:p>
        </w:tc>
      </w:tr>
      <w:tr w:rsidR="00CF67C9" w14:paraId="54A9E6C3" w14:textId="77777777" w:rsidTr="0038239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251" w:type="dxa"/>
          </w:tcPr>
          <w:p w14:paraId="38C2607D" w14:textId="1C50DB66" w:rsidR="00CF67C9" w:rsidRDefault="00CF67C9" w:rsidP="00CF67C9">
            <w:r w:rsidRPr="00D10C62">
              <w:rPr>
                <w:rFonts w:asciiTheme="minorHAnsi" w:hAnsiTheme="minorHAnsi" w:cstheme="minorHAnsi"/>
              </w:rPr>
              <w:t>Contract award</w:t>
            </w:r>
          </w:p>
        </w:tc>
        <w:tc>
          <w:tcPr>
            <w:tcW w:w="4252" w:type="dxa"/>
          </w:tcPr>
          <w:p w14:paraId="13FC648B" w14:textId="5D0EE50D" w:rsidR="00CF67C9" w:rsidRDefault="001B00DB" w:rsidP="00CF67C9">
            <w:pPr>
              <w:cnfStyle w:val="000000100000" w:firstRow="0" w:lastRow="0" w:firstColumn="0" w:lastColumn="0" w:oddVBand="0" w:evenVBand="0" w:oddHBand="1" w:evenHBand="0" w:firstRowFirstColumn="0" w:firstRowLastColumn="0" w:lastRowFirstColumn="0" w:lastRowLastColumn="0"/>
            </w:pPr>
            <w:r>
              <w:t xml:space="preserve">10 December 2019 </w:t>
            </w:r>
          </w:p>
        </w:tc>
      </w:tr>
    </w:tbl>
    <w:p w14:paraId="4D071F80" w14:textId="169A5BBF" w:rsidR="00CF67C9" w:rsidRDefault="00CF67C9" w:rsidP="00CF67C9">
      <w:pPr>
        <w:spacing w:after="0"/>
      </w:pPr>
    </w:p>
    <w:p w14:paraId="3ABE6F0D" w14:textId="6BD9614F" w:rsidR="00AA3EB5" w:rsidRDefault="00AA3EB5" w:rsidP="00AA3EB5">
      <w:pPr>
        <w:pStyle w:val="Heading2"/>
      </w:pPr>
      <w:bookmarkStart w:id="12" w:name="_Toc18661785"/>
      <w:r>
        <w:t>Invitation to Tender</w:t>
      </w:r>
      <w:bookmarkEnd w:id="12"/>
    </w:p>
    <w:p w14:paraId="17368186" w14:textId="77777777" w:rsidR="00AA3EB5" w:rsidRDefault="00AA3EB5" w:rsidP="00CF67C9">
      <w:pPr>
        <w:spacing w:after="0"/>
      </w:pPr>
      <w:r>
        <w:t xml:space="preserve">Suppliers who pass the minimum criteria detailed within Section 3 – Selection Criteria, will be invited to tender for the requirements. </w:t>
      </w:r>
    </w:p>
    <w:p w14:paraId="0D1ABA05" w14:textId="77777777" w:rsidR="00AA3EB5" w:rsidRDefault="00AA3EB5" w:rsidP="00CF67C9">
      <w:pPr>
        <w:spacing w:after="0"/>
        <w:rPr>
          <w:b/>
          <w:u w:val="single"/>
        </w:rPr>
      </w:pPr>
    </w:p>
    <w:p w14:paraId="21238DED" w14:textId="14C7395B" w:rsidR="00AA3EB5" w:rsidRPr="004A2EE1" w:rsidRDefault="00AA3EB5" w:rsidP="008E645F">
      <w:pPr>
        <w:spacing w:after="0"/>
        <w:rPr>
          <w:u w:val="single"/>
        </w:rPr>
      </w:pPr>
      <w:r w:rsidRPr="00AA3EB5">
        <w:rPr>
          <w:b/>
          <w:u w:val="single"/>
        </w:rPr>
        <w:t>Please Note</w:t>
      </w:r>
      <w:r w:rsidR="008E645F">
        <w:rPr>
          <w:b/>
          <w:u w:val="single"/>
        </w:rPr>
        <w:t xml:space="preserve">: </w:t>
      </w:r>
      <w:r w:rsidR="008E645F">
        <w:rPr>
          <w:u w:val="single"/>
        </w:rPr>
        <w:t xml:space="preserve">The draft ITT Documents (including specification) are available, and Suppliers should contact </w:t>
      </w:r>
      <w:hyperlink r:id="rId18" w:history="1">
        <w:r w:rsidR="008E645F" w:rsidRPr="00500389">
          <w:rPr>
            <w:rStyle w:val="Hyperlink"/>
          </w:rPr>
          <w:t>Cameron.kerr@sse.com</w:t>
        </w:r>
      </w:hyperlink>
      <w:r w:rsidR="008E645F">
        <w:rPr>
          <w:u w:val="single"/>
        </w:rPr>
        <w:t xml:space="preserve"> for copies. Suppliers should take</w:t>
      </w:r>
      <w:r>
        <w:rPr>
          <w:u w:val="single"/>
        </w:rPr>
        <w:t xml:space="preserve"> consideration of the above timeframe and are encouraged to review the ITT documents in advance and prepare their response</w:t>
      </w:r>
      <w:r w:rsidR="004934C4">
        <w:rPr>
          <w:u w:val="single"/>
        </w:rPr>
        <w:t xml:space="preserve"> as the ITT deadline will be 23 October 2019</w:t>
      </w:r>
      <w:r w:rsidR="00DA2727">
        <w:rPr>
          <w:u w:val="single"/>
        </w:rPr>
        <w:t>. Suppliers must however pass this PQQ to be invited to submit an ITT.</w:t>
      </w:r>
    </w:p>
    <w:p w14:paraId="2A035904" w14:textId="77777777" w:rsidR="00AA3EB5" w:rsidRDefault="00AA3EB5" w:rsidP="00CF67C9">
      <w:pPr>
        <w:spacing w:after="0"/>
      </w:pPr>
    </w:p>
    <w:p w14:paraId="0B23B180" w14:textId="7B200630" w:rsidR="00AA3EB5" w:rsidRPr="00AA3EB5" w:rsidRDefault="00B95556" w:rsidP="00AA3EB5">
      <w:pPr>
        <w:pStyle w:val="Heading2"/>
      </w:pPr>
      <w:bookmarkStart w:id="13" w:name="_Toc18661786"/>
      <w:r>
        <w:t>Queries</w:t>
      </w:r>
      <w:bookmarkEnd w:id="13"/>
      <w:r>
        <w:t xml:space="preserve"> </w:t>
      </w:r>
    </w:p>
    <w:p w14:paraId="5AC2003C" w14:textId="4BE7069D" w:rsidR="00B95556" w:rsidRDefault="00B95556" w:rsidP="00CF67C9">
      <w:pPr>
        <w:spacing w:after="0"/>
      </w:pPr>
      <w:r w:rsidRPr="00B95556">
        <w:t xml:space="preserve">Any queries and/or requests for clarification in respect of this PQQ should be sent to </w:t>
      </w:r>
      <w:hyperlink r:id="rId19" w:history="1">
        <w:r w:rsidRPr="00CF0918">
          <w:rPr>
            <w:rStyle w:val="Hyperlink"/>
          </w:rPr>
          <w:t>cameron.kerr@sse.com</w:t>
        </w:r>
      </w:hyperlink>
      <w:r w:rsidRPr="00B95556">
        <w:t>.</w:t>
      </w:r>
    </w:p>
    <w:p w14:paraId="68C9ABC6" w14:textId="78F58A4D" w:rsidR="00B95556" w:rsidRDefault="00B95556" w:rsidP="00CF67C9">
      <w:pPr>
        <w:spacing w:after="0"/>
      </w:pPr>
    </w:p>
    <w:p w14:paraId="7EC7A0EF" w14:textId="3897201E" w:rsidR="00B95556" w:rsidRDefault="00B95556" w:rsidP="00B95556">
      <w:pPr>
        <w:pStyle w:val="Heading2"/>
      </w:pPr>
      <w:bookmarkStart w:id="14" w:name="_Toc18661787"/>
      <w:r w:rsidRPr="00B95556">
        <w:t xml:space="preserve">How </w:t>
      </w:r>
      <w:r w:rsidR="004934C4" w:rsidRPr="00B95556">
        <w:t>to</w:t>
      </w:r>
      <w:r w:rsidRPr="00B95556">
        <w:t xml:space="preserve"> Complete and Respond to this PQQ</w:t>
      </w:r>
      <w:bookmarkEnd w:id="14"/>
    </w:p>
    <w:p w14:paraId="2E8C6027" w14:textId="1090007F" w:rsidR="00B95556" w:rsidRDefault="00F44810" w:rsidP="00CF67C9">
      <w:pPr>
        <w:spacing w:after="0"/>
      </w:pPr>
      <w:r>
        <w:t xml:space="preserve">The PQQ </w:t>
      </w:r>
      <w:r w:rsidR="004A2EE1">
        <w:t xml:space="preserve">response </w:t>
      </w:r>
      <w:r>
        <w:t xml:space="preserve">sheet is contained in an excel spreadsheet within Appendix A of this document. </w:t>
      </w:r>
      <w:r w:rsidR="00B95556" w:rsidRPr="00B95556">
        <w:t xml:space="preserve">Suppliers are invited to complete the Questionnaire sheet and submit it to the Authority at </w:t>
      </w:r>
      <w:hyperlink r:id="rId20" w:history="1">
        <w:r w:rsidR="00C974E3" w:rsidRPr="00CF0918">
          <w:rPr>
            <w:rStyle w:val="Hyperlink"/>
          </w:rPr>
          <w:t>cameron.kerr@sse.com</w:t>
        </w:r>
      </w:hyperlink>
      <w:r w:rsidR="00C974E3">
        <w:t xml:space="preserve"> by the Deadline</w:t>
      </w:r>
      <w:r w:rsidR="00B95556" w:rsidRPr="00B95556">
        <w:t xml:space="preserve"> for PQQ Submission as specified in the Timetable. Please also </w:t>
      </w:r>
      <w:r>
        <w:t xml:space="preserve">ensure that </w:t>
      </w:r>
      <w:r w:rsidR="00B95556" w:rsidRPr="00B95556">
        <w:t>the Declaration sheet</w:t>
      </w:r>
      <w:r>
        <w:t xml:space="preserve"> contained within the attachment is correctly completed</w:t>
      </w:r>
      <w:r w:rsidR="00B95556" w:rsidRPr="00B95556">
        <w:t>.</w:t>
      </w:r>
    </w:p>
    <w:p w14:paraId="7D6F6696" w14:textId="35BF7417" w:rsidR="00C974E3" w:rsidRDefault="00C974E3" w:rsidP="00CF67C9">
      <w:pPr>
        <w:spacing w:after="0"/>
      </w:pPr>
    </w:p>
    <w:p w14:paraId="0CD569E7" w14:textId="04EAA65B" w:rsidR="00C974E3" w:rsidRDefault="00C974E3" w:rsidP="00C974E3">
      <w:pPr>
        <w:pStyle w:val="Heading2"/>
      </w:pPr>
      <w:bookmarkStart w:id="15" w:name="_Toc18661788"/>
      <w:r>
        <w:t>Definitions</w:t>
      </w:r>
      <w:bookmarkEnd w:id="15"/>
    </w:p>
    <w:p w14:paraId="59F19710" w14:textId="72D984AC" w:rsidR="00C974E3" w:rsidRDefault="00C974E3" w:rsidP="00C974E3">
      <w:pPr>
        <w:spacing w:after="0"/>
      </w:pPr>
      <w:r w:rsidRPr="00C974E3">
        <w:t>In this PQQ, ‘Authority’ or 'we' means Scotland Gas Networks Plc, or anyone acting on its behalf, that is seeking to invite suitable Suppliers to participate in this procurement process. ‘Supplier’ or 'you' means the organisation that is completing this PQQ.</w:t>
      </w:r>
    </w:p>
    <w:p w14:paraId="1DC3A1F6" w14:textId="77777777" w:rsidR="004934C4" w:rsidRDefault="004934C4" w:rsidP="00C974E3">
      <w:pPr>
        <w:spacing w:after="0"/>
      </w:pPr>
    </w:p>
    <w:p w14:paraId="77986000" w14:textId="748524AE" w:rsidR="00C974E3" w:rsidRDefault="00C974E3" w:rsidP="00C974E3">
      <w:pPr>
        <w:pStyle w:val="Heading2"/>
      </w:pPr>
      <w:bookmarkStart w:id="16" w:name="_Toc18661789"/>
      <w:r w:rsidRPr="00C974E3">
        <w:t>Confidentiality and Intellectual Property Rights</w:t>
      </w:r>
      <w:bookmarkEnd w:id="16"/>
    </w:p>
    <w:p w14:paraId="5C3A8C95" w14:textId="77777777" w:rsidR="00C974E3" w:rsidRDefault="00C974E3" w:rsidP="00C974E3">
      <w:pPr>
        <w:spacing w:after="0"/>
      </w:pPr>
      <w:r>
        <w:t xml:space="preserve">Suppliers shall not disclose any information in relation to either this PQQ, their PQQ response or subsequent queries and correspondence in whole or in part to any third party prior to either the award of a resultant Contract by the Authority or if permission is received in writing from a duly authorised representative. Suppliers are responsible for identifying any information of a proprietary or confidential nature within their response in order that it may be handled properly. </w:t>
      </w:r>
    </w:p>
    <w:p w14:paraId="4D302205" w14:textId="77777777" w:rsidR="00C974E3" w:rsidRDefault="00C974E3" w:rsidP="00C974E3">
      <w:pPr>
        <w:spacing w:after="0"/>
      </w:pPr>
    </w:p>
    <w:p w14:paraId="4A95F740" w14:textId="77777777" w:rsidR="00C974E3" w:rsidRDefault="00C974E3" w:rsidP="00C974E3">
      <w:pPr>
        <w:spacing w:after="0"/>
      </w:pPr>
      <w:r>
        <w:t xml:space="preserve">Suppliers are to restrict circulation and distribution of this PQQ to their suppliers and subcontractors on a "need to know" basis and then only for the purposes for which it has been supplied and when the supplier and/or subcontractor are bound by the same terms of confidentiality stated herein.  </w:t>
      </w:r>
    </w:p>
    <w:p w14:paraId="763B3F7E" w14:textId="77777777" w:rsidR="00C974E3" w:rsidRDefault="00C974E3" w:rsidP="00C974E3">
      <w:pPr>
        <w:spacing w:after="0"/>
      </w:pPr>
    </w:p>
    <w:p w14:paraId="59FFBE88" w14:textId="77777777" w:rsidR="00C974E3" w:rsidRDefault="00C974E3" w:rsidP="00C974E3">
      <w:pPr>
        <w:spacing w:after="0"/>
      </w:pPr>
      <w:r>
        <w:t xml:space="preserve">If you, as representative of your company, are not in agreement with this 'Confidentiality Notice' or you elect not to respond to this PQQ, please inform the Authority and delete all associated documents and correspondence, </w:t>
      </w:r>
      <w:proofErr w:type="gramStart"/>
      <w:r>
        <w:t>at all times</w:t>
      </w:r>
      <w:proofErr w:type="gramEnd"/>
      <w:r>
        <w:t xml:space="preserve"> treating the information contained herein as confidential. Otherwise, these confidentiality provisions are deemed accepted.</w:t>
      </w:r>
    </w:p>
    <w:p w14:paraId="433D47B0" w14:textId="77777777" w:rsidR="00C974E3" w:rsidRDefault="00C974E3" w:rsidP="00C974E3">
      <w:pPr>
        <w:spacing w:after="0"/>
      </w:pPr>
    </w:p>
    <w:p w14:paraId="20F41470" w14:textId="77777777" w:rsidR="00C974E3" w:rsidRDefault="00C974E3" w:rsidP="00C974E3">
      <w:pPr>
        <w:spacing w:after="0"/>
      </w:pPr>
      <w:r>
        <w:t>This PQQ and all associated documentation remain the property of the Authority. The Authority provides a license to the Supplier to use the information for the sole purpose of responding to this PQQ.</w:t>
      </w:r>
    </w:p>
    <w:p w14:paraId="4EC0DCEF" w14:textId="77777777" w:rsidR="00C974E3" w:rsidRDefault="00C974E3" w:rsidP="00C974E3">
      <w:pPr>
        <w:spacing w:after="0"/>
      </w:pPr>
    </w:p>
    <w:p w14:paraId="2FB7FD80" w14:textId="57E8AB44" w:rsidR="00C974E3" w:rsidRDefault="00C974E3" w:rsidP="00C974E3">
      <w:pPr>
        <w:spacing w:after="0"/>
      </w:pPr>
      <w:r>
        <w:t xml:space="preserve">The Supplier grants the Authority a </w:t>
      </w:r>
      <w:proofErr w:type="spellStart"/>
      <w:proofErr w:type="gramStart"/>
      <w:r>
        <w:t>non exclusive</w:t>
      </w:r>
      <w:proofErr w:type="spellEnd"/>
      <w:proofErr w:type="gramEnd"/>
      <w:r>
        <w:t>, irrevocable and perpetual licence to copy, reproduce and use any intellectual property contained within its PQQ response for the purposes of carrying out the evaluation of the PQQ response and for entering into any resultant Contract (where applicable).</w:t>
      </w:r>
    </w:p>
    <w:p w14:paraId="619904EA" w14:textId="77777777" w:rsidR="00C974E3" w:rsidRDefault="00C974E3" w:rsidP="00CF67C9">
      <w:pPr>
        <w:spacing w:after="0"/>
      </w:pPr>
    </w:p>
    <w:p w14:paraId="041F2223" w14:textId="078C4E3B" w:rsidR="00B95556" w:rsidRDefault="00C974E3" w:rsidP="00C974E3">
      <w:pPr>
        <w:pStyle w:val="Heading2"/>
      </w:pPr>
      <w:bookmarkStart w:id="17" w:name="_Toc18661790"/>
      <w:r w:rsidRPr="00C974E3">
        <w:t>Other</w:t>
      </w:r>
      <w:r w:rsidRPr="00C974E3">
        <w:rPr>
          <w:b w:val="0"/>
          <w:bCs w:val="0"/>
        </w:rPr>
        <w:t xml:space="preserve"> </w:t>
      </w:r>
      <w:r w:rsidRPr="00C974E3">
        <w:t>Information</w:t>
      </w:r>
      <w:bookmarkEnd w:id="17"/>
    </w:p>
    <w:p w14:paraId="59F79679" w14:textId="0769E32A" w:rsidR="00B95556" w:rsidRDefault="00C974E3" w:rsidP="00CF67C9">
      <w:pPr>
        <w:spacing w:after="0"/>
      </w:pPr>
      <w:r w:rsidRPr="00C974E3">
        <w:t xml:space="preserve">Unless specifically requested by the Authority, you should not submit any additional documents with your PQQ response. No information contained in this PQQ, or in any communication made between the Authority and any Supplier in connection with this PQQ shall be relied upon as constituting a contract, agreement or representation that any contract shall be offered in accordance with this PQQ. Under no circumstances shall the Authority incur any liability in respect of this PQQ or any supporting documentation. </w:t>
      </w:r>
      <w:proofErr w:type="gramStart"/>
      <w:r w:rsidRPr="00C974E3">
        <w:t>In the event that</w:t>
      </w:r>
      <w:proofErr w:type="gramEnd"/>
      <w:r w:rsidRPr="00C974E3">
        <w:t xml:space="preserve"> none of the PQQ responses are deemed satisfactory, the Authority reserves the right to discontinue the process. Suppliers shall bear all costs and expenses incurred by them in the preparation and submission of their PQQ response. You must complete the PQQ response in the English language. Suppliers must complete all parts of the questionnaire fully - if you fail to do so your application may be disqualified.</w:t>
      </w:r>
    </w:p>
    <w:p w14:paraId="6146D812" w14:textId="662720D3" w:rsidR="004934C4" w:rsidRDefault="004934C4">
      <w:pPr>
        <w:spacing w:after="200" w:line="276" w:lineRule="auto"/>
        <w:rPr>
          <w:rFonts w:eastAsiaTheme="majorEastAsia" w:cstheme="majorBidi"/>
          <w:b/>
          <w:bCs/>
          <w:color w:val="002249"/>
          <w:sz w:val="36"/>
          <w:szCs w:val="28"/>
        </w:rPr>
      </w:pPr>
      <w:r>
        <w:br w:type="page"/>
      </w:r>
    </w:p>
    <w:p w14:paraId="06232D7A" w14:textId="77777777" w:rsidR="00CF67C9" w:rsidRDefault="00CF67C9" w:rsidP="00CF67C9">
      <w:pPr>
        <w:pStyle w:val="Heading1"/>
        <w:numPr>
          <w:ilvl w:val="0"/>
          <w:numId w:val="0"/>
        </w:numPr>
      </w:pPr>
    </w:p>
    <w:p w14:paraId="498EEBDE" w14:textId="7181F295" w:rsidR="00382397" w:rsidRPr="00382397" w:rsidRDefault="00C974E3" w:rsidP="00382397">
      <w:pPr>
        <w:pStyle w:val="Heading1"/>
      </w:pPr>
      <w:bookmarkStart w:id="18" w:name="_Toc18661791"/>
      <w:r>
        <w:t>Selection Criteria</w:t>
      </w:r>
      <w:bookmarkEnd w:id="18"/>
    </w:p>
    <w:p w14:paraId="0997186C" w14:textId="61276520" w:rsidR="00382397" w:rsidRDefault="00382397" w:rsidP="00AA3EB5">
      <w:pPr>
        <w:tabs>
          <w:tab w:val="right" w:pos="10312"/>
        </w:tabs>
        <w:spacing w:after="0"/>
        <w:jc w:val="both"/>
      </w:pPr>
      <w:r w:rsidRPr="00AA3EB5">
        <w:t xml:space="preserve">The </w:t>
      </w:r>
      <w:r w:rsidR="00C974E3" w:rsidRPr="00AA3EB5">
        <w:t>PQQ</w:t>
      </w:r>
      <w:r w:rsidRPr="00AA3EB5">
        <w:t xml:space="preserve"> assess</w:t>
      </w:r>
      <w:r w:rsidR="00F44810">
        <w:t>es</w:t>
      </w:r>
      <w:r w:rsidRPr="00AA3EB5">
        <w:t xml:space="preserve"> the </w:t>
      </w:r>
      <w:r w:rsidR="00C974E3" w:rsidRPr="00AA3EB5">
        <w:t>Suppliers</w:t>
      </w:r>
      <w:r w:rsidRPr="00AA3EB5">
        <w:t xml:space="preserve"> suitability to carry out services under the contract, in terms of the responses provided in</w:t>
      </w:r>
      <w:r>
        <w:t xml:space="preserve"> the </w:t>
      </w:r>
      <w:r w:rsidR="00C974E3">
        <w:t>PQQ Submission</w:t>
      </w:r>
      <w:r>
        <w:t xml:space="preserve">. </w:t>
      </w:r>
    </w:p>
    <w:p w14:paraId="04909851" w14:textId="77777777" w:rsidR="00382397" w:rsidRDefault="00382397" w:rsidP="00AA3EB5">
      <w:pPr>
        <w:tabs>
          <w:tab w:val="right" w:pos="10312"/>
        </w:tabs>
        <w:spacing w:after="0"/>
        <w:jc w:val="both"/>
      </w:pPr>
    </w:p>
    <w:p w14:paraId="3A300DEE" w14:textId="77777777" w:rsidR="00382397" w:rsidRDefault="00382397" w:rsidP="00AA3EB5">
      <w:pPr>
        <w:tabs>
          <w:tab w:val="right" w:pos="10312"/>
        </w:tabs>
        <w:spacing w:after="0"/>
        <w:jc w:val="both"/>
      </w:pPr>
      <w:r>
        <w:t xml:space="preserve">This section will be evaluated on a </w:t>
      </w:r>
      <w:r w:rsidRPr="00AA3EB5">
        <w:rPr>
          <w:b/>
        </w:rPr>
        <w:t>pass/fail</w:t>
      </w:r>
      <w:r w:rsidRPr="00AA3EB5">
        <w:t xml:space="preserve"> </w:t>
      </w:r>
      <w:r>
        <w:t xml:space="preserve">basis according to the stated criteria. </w:t>
      </w:r>
    </w:p>
    <w:p w14:paraId="60932745" w14:textId="77777777" w:rsidR="00382397" w:rsidRDefault="00382397" w:rsidP="00382397">
      <w:pPr>
        <w:pStyle w:val="Default"/>
        <w:rPr>
          <w:sz w:val="22"/>
          <w:szCs w:val="22"/>
        </w:rPr>
      </w:pPr>
    </w:p>
    <w:p w14:paraId="117F096E" w14:textId="1E6C19DD" w:rsidR="00580121" w:rsidRDefault="00382397" w:rsidP="00382397">
      <w:pPr>
        <w:tabs>
          <w:tab w:val="right" w:pos="10312"/>
        </w:tabs>
        <w:spacing w:after="0"/>
        <w:jc w:val="both"/>
      </w:pPr>
      <w:r>
        <w:t xml:space="preserve">Any </w:t>
      </w:r>
      <w:r w:rsidR="00C974E3">
        <w:t xml:space="preserve">Suppliers </w:t>
      </w:r>
      <w:r>
        <w:t xml:space="preserve">who do not pass all elements of the qualification stage may not be considered further. </w:t>
      </w:r>
    </w:p>
    <w:p w14:paraId="07935A11" w14:textId="77777777" w:rsidR="00580121" w:rsidRDefault="00580121" w:rsidP="00382397">
      <w:pPr>
        <w:tabs>
          <w:tab w:val="right" w:pos="10312"/>
        </w:tabs>
        <w:spacing w:after="0"/>
        <w:jc w:val="both"/>
      </w:pPr>
    </w:p>
    <w:tbl>
      <w:tblPr>
        <w:tblStyle w:val="LightGrid-Accent1"/>
        <w:tblW w:w="9488" w:type="dxa"/>
        <w:tblLook w:val="04A0" w:firstRow="1" w:lastRow="0" w:firstColumn="1" w:lastColumn="0" w:noHBand="0" w:noVBand="1"/>
      </w:tblPr>
      <w:tblGrid>
        <w:gridCol w:w="2117"/>
        <w:gridCol w:w="7371"/>
      </w:tblGrid>
      <w:tr w:rsidR="00382397" w14:paraId="31A0EBC9" w14:textId="77777777" w:rsidTr="003823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7AC611E6" w14:textId="21F82A61" w:rsidR="00382397" w:rsidRDefault="00C974E3" w:rsidP="00382397">
            <w:r>
              <w:rPr>
                <w:rFonts w:asciiTheme="minorHAnsi" w:hAnsiTheme="minorHAnsi" w:cstheme="minorHAnsi"/>
              </w:rPr>
              <w:t>Selection</w:t>
            </w:r>
            <w:r w:rsidR="00382397" w:rsidRPr="003062CC">
              <w:rPr>
                <w:rFonts w:asciiTheme="minorHAnsi" w:hAnsiTheme="minorHAnsi" w:cstheme="minorHAnsi"/>
              </w:rPr>
              <w:t xml:space="preserve"> Criteria</w:t>
            </w:r>
          </w:p>
        </w:tc>
        <w:tc>
          <w:tcPr>
            <w:tcW w:w="7371" w:type="dxa"/>
          </w:tcPr>
          <w:p w14:paraId="1BA9AA4E" w14:textId="187420E9" w:rsidR="00382397" w:rsidRDefault="00382397" w:rsidP="00382397">
            <w:pPr>
              <w:cnfStyle w:val="100000000000" w:firstRow="1" w:lastRow="0" w:firstColumn="0" w:lastColumn="0" w:oddVBand="0" w:evenVBand="0" w:oddHBand="0" w:evenHBand="0" w:firstRowFirstColumn="0" w:firstRowLastColumn="0" w:lastRowFirstColumn="0" w:lastRowLastColumn="0"/>
            </w:pPr>
            <w:r w:rsidRPr="003062CC">
              <w:rPr>
                <w:rFonts w:asciiTheme="minorHAnsi" w:hAnsiTheme="minorHAnsi" w:cstheme="minorHAnsi"/>
              </w:rPr>
              <w:t>Minimum Standards / Criteria to be Evidenced</w:t>
            </w:r>
          </w:p>
        </w:tc>
      </w:tr>
      <w:tr w:rsidR="00382397" w:rsidRPr="00954910" w14:paraId="7C96D9E5" w14:textId="77777777" w:rsidTr="00382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63C59EF9" w14:textId="0D11EFF8" w:rsidR="00382397" w:rsidRPr="00954910" w:rsidRDefault="00382397" w:rsidP="00382397">
            <w:pPr>
              <w:rPr>
                <w:rFonts w:asciiTheme="minorHAnsi" w:hAnsiTheme="minorHAnsi" w:cstheme="minorHAnsi"/>
              </w:rPr>
            </w:pPr>
            <w:r w:rsidRPr="003062CC">
              <w:rPr>
                <w:rFonts w:asciiTheme="minorHAnsi" w:hAnsiTheme="minorHAnsi" w:cstheme="minorHAnsi"/>
              </w:rPr>
              <w:t>Grounds for Mandatory Exclusions</w:t>
            </w:r>
          </w:p>
        </w:tc>
        <w:tc>
          <w:tcPr>
            <w:tcW w:w="7371" w:type="dxa"/>
          </w:tcPr>
          <w:p w14:paraId="2F709C49" w14:textId="62D88426" w:rsidR="00382397" w:rsidRPr="00C974E3" w:rsidRDefault="00382397" w:rsidP="003823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974E3">
              <w:rPr>
                <w:rFonts w:asciiTheme="minorHAnsi" w:hAnsiTheme="minorHAnsi" w:cstheme="minorHAnsi"/>
              </w:rPr>
              <w:t>This section</w:t>
            </w:r>
            <w:r w:rsidRPr="00C974E3">
              <w:rPr>
                <w:rFonts w:asciiTheme="minorHAnsi" w:hAnsiTheme="minorHAnsi" w:cstheme="minorHAnsi"/>
                <w:b/>
                <w:bCs/>
              </w:rPr>
              <w:t xml:space="preserve"> </w:t>
            </w:r>
            <w:r w:rsidRPr="00C974E3">
              <w:rPr>
                <w:rFonts w:asciiTheme="minorHAnsi" w:hAnsiTheme="minorHAnsi" w:cstheme="minorHAnsi"/>
              </w:rPr>
              <w:t xml:space="preserve">is composed of mandatory exclusion questions. If </w:t>
            </w:r>
            <w:r w:rsidRPr="00C974E3">
              <w:rPr>
                <w:rFonts w:asciiTheme="minorHAnsi" w:hAnsiTheme="minorHAnsi" w:cstheme="minorHAnsi"/>
                <w:b/>
                <w:bCs/>
              </w:rPr>
              <w:t xml:space="preserve">ANY </w:t>
            </w:r>
            <w:r w:rsidRPr="00C974E3">
              <w:rPr>
                <w:rFonts w:asciiTheme="minorHAnsi" w:hAnsiTheme="minorHAnsi" w:cstheme="minorHAnsi"/>
              </w:rPr>
              <w:t xml:space="preserve">of the mandatory grounds for exclusion apply, a </w:t>
            </w:r>
            <w:r w:rsidR="00F44810">
              <w:rPr>
                <w:rFonts w:asciiTheme="minorHAnsi" w:hAnsiTheme="minorHAnsi" w:cstheme="minorHAnsi"/>
              </w:rPr>
              <w:t>Supplier</w:t>
            </w:r>
            <w:r w:rsidRPr="00C974E3">
              <w:rPr>
                <w:rFonts w:asciiTheme="minorHAnsi" w:hAnsiTheme="minorHAnsi" w:cstheme="minorHAnsi"/>
              </w:rPr>
              <w:t xml:space="preserve"> </w:t>
            </w:r>
            <w:r w:rsidRPr="00C974E3">
              <w:rPr>
                <w:rFonts w:asciiTheme="minorHAnsi" w:hAnsiTheme="minorHAnsi" w:cstheme="minorHAnsi"/>
                <w:b/>
                <w:bCs/>
              </w:rPr>
              <w:t xml:space="preserve">will fail </w:t>
            </w:r>
            <w:r w:rsidRPr="00C974E3">
              <w:rPr>
                <w:rFonts w:asciiTheme="minorHAnsi" w:hAnsiTheme="minorHAnsi" w:cstheme="minorHAnsi"/>
              </w:rPr>
              <w:t xml:space="preserve">the </w:t>
            </w:r>
            <w:r w:rsidR="00C974E3">
              <w:rPr>
                <w:rFonts w:asciiTheme="minorHAnsi" w:hAnsiTheme="minorHAnsi" w:cstheme="minorHAnsi"/>
              </w:rPr>
              <w:t>Selection</w:t>
            </w:r>
            <w:r w:rsidRPr="00C974E3">
              <w:rPr>
                <w:rFonts w:asciiTheme="minorHAnsi" w:hAnsiTheme="minorHAnsi" w:cstheme="minorHAnsi"/>
              </w:rPr>
              <w:t xml:space="preserve"> Criteria and its offer will not be considered further.</w:t>
            </w:r>
          </w:p>
        </w:tc>
      </w:tr>
      <w:tr w:rsidR="00382397" w:rsidRPr="00954910" w14:paraId="0602107B" w14:textId="77777777" w:rsidTr="003823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4074230D" w14:textId="7503F750" w:rsidR="00382397" w:rsidRPr="00954910" w:rsidRDefault="00382397" w:rsidP="00382397">
            <w:pPr>
              <w:rPr>
                <w:rFonts w:asciiTheme="minorHAnsi" w:hAnsiTheme="minorHAnsi" w:cstheme="minorHAnsi"/>
              </w:rPr>
            </w:pPr>
            <w:r w:rsidRPr="003062CC">
              <w:rPr>
                <w:rFonts w:asciiTheme="minorHAnsi" w:hAnsiTheme="minorHAnsi" w:cstheme="minorHAnsi"/>
              </w:rPr>
              <w:t>Discretionary Exclusions</w:t>
            </w:r>
          </w:p>
        </w:tc>
        <w:tc>
          <w:tcPr>
            <w:tcW w:w="7371" w:type="dxa"/>
          </w:tcPr>
          <w:p w14:paraId="42718D87" w14:textId="27C9C268" w:rsidR="00382397" w:rsidRPr="00C974E3" w:rsidRDefault="00382397" w:rsidP="0038239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C974E3">
              <w:rPr>
                <w:rFonts w:asciiTheme="minorHAnsi" w:hAnsiTheme="minorHAnsi" w:cstheme="minorHAnsi"/>
              </w:rPr>
              <w:t>This section is composed of discretionary exclusion questions</w:t>
            </w:r>
            <w:r w:rsidRPr="00C974E3">
              <w:rPr>
                <w:rFonts w:asciiTheme="minorHAnsi" w:hAnsiTheme="minorHAnsi" w:cstheme="minorHAnsi"/>
                <w:b/>
                <w:bCs/>
              </w:rPr>
              <w:t xml:space="preserve">. </w:t>
            </w:r>
            <w:r w:rsidRPr="00C974E3">
              <w:rPr>
                <w:rFonts w:asciiTheme="minorHAnsi" w:hAnsiTheme="minorHAnsi" w:cstheme="minorHAnsi"/>
              </w:rPr>
              <w:t xml:space="preserve">If any of the discretionary grounds for exclusion apply, </w:t>
            </w:r>
            <w:r w:rsidR="00C974E3">
              <w:rPr>
                <w:rFonts w:asciiTheme="minorHAnsi" w:hAnsiTheme="minorHAnsi" w:cstheme="minorHAnsi"/>
              </w:rPr>
              <w:t>Supplier’s</w:t>
            </w:r>
            <w:r w:rsidRPr="00C974E3">
              <w:rPr>
                <w:rFonts w:asciiTheme="minorHAnsi" w:hAnsiTheme="minorHAnsi" w:cstheme="minorHAnsi"/>
              </w:rPr>
              <w:t xml:space="preserve"> must provide evidence that remedial action has been undertaken. If, in the professional judgement of the Authority, the evidence (or proof) supplied is not </w:t>
            </w:r>
            <w:proofErr w:type="gramStart"/>
            <w:r w:rsidRPr="00C974E3">
              <w:rPr>
                <w:rFonts w:asciiTheme="minorHAnsi" w:hAnsiTheme="minorHAnsi" w:cstheme="minorHAnsi"/>
              </w:rPr>
              <w:t>sufficient</w:t>
            </w:r>
            <w:proofErr w:type="gramEnd"/>
            <w:r w:rsidRPr="00C974E3">
              <w:rPr>
                <w:rFonts w:asciiTheme="minorHAnsi" w:hAnsiTheme="minorHAnsi" w:cstheme="minorHAnsi"/>
              </w:rPr>
              <w:t xml:space="preserve"> in remedying the discretionary exclusion then the </w:t>
            </w:r>
            <w:r w:rsidR="00C974E3">
              <w:rPr>
                <w:rFonts w:asciiTheme="minorHAnsi" w:hAnsiTheme="minorHAnsi" w:cstheme="minorHAnsi"/>
              </w:rPr>
              <w:t>Supplier</w:t>
            </w:r>
            <w:r w:rsidRPr="00C974E3">
              <w:rPr>
                <w:rFonts w:asciiTheme="minorHAnsi" w:hAnsiTheme="minorHAnsi" w:cstheme="minorHAnsi"/>
              </w:rPr>
              <w:t xml:space="preserve"> </w:t>
            </w:r>
            <w:r w:rsidRPr="00C974E3">
              <w:rPr>
                <w:rFonts w:asciiTheme="minorHAnsi" w:hAnsiTheme="minorHAnsi" w:cstheme="minorHAnsi"/>
                <w:b/>
                <w:bCs/>
              </w:rPr>
              <w:t xml:space="preserve">will </w:t>
            </w:r>
            <w:r w:rsidR="004103EE" w:rsidRPr="00C974E3">
              <w:rPr>
                <w:rFonts w:asciiTheme="minorHAnsi" w:hAnsiTheme="minorHAnsi" w:cstheme="minorHAnsi"/>
                <w:b/>
                <w:bCs/>
              </w:rPr>
              <w:t>fail,</w:t>
            </w:r>
            <w:r w:rsidRPr="00C974E3">
              <w:rPr>
                <w:rFonts w:asciiTheme="minorHAnsi" w:hAnsiTheme="minorHAnsi" w:cstheme="minorHAnsi"/>
                <w:b/>
                <w:bCs/>
              </w:rPr>
              <w:t xml:space="preserve"> </w:t>
            </w:r>
            <w:r w:rsidRPr="00C974E3">
              <w:rPr>
                <w:rFonts w:asciiTheme="minorHAnsi" w:hAnsiTheme="minorHAnsi" w:cstheme="minorHAnsi"/>
              </w:rPr>
              <w:t>and the offer will not be considered.</w:t>
            </w:r>
          </w:p>
        </w:tc>
      </w:tr>
      <w:tr w:rsidR="00382397" w:rsidRPr="00954910" w14:paraId="4FF74A37" w14:textId="77777777" w:rsidTr="00382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121B2C66" w14:textId="3FC373EE" w:rsidR="00382397" w:rsidRPr="00954910" w:rsidRDefault="00382397" w:rsidP="00382397">
            <w:pPr>
              <w:rPr>
                <w:rFonts w:asciiTheme="minorHAnsi" w:hAnsiTheme="minorHAnsi" w:cstheme="minorHAnsi"/>
              </w:rPr>
            </w:pPr>
            <w:r w:rsidRPr="003062CC">
              <w:rPr>
                <w:rFonts w:asciiTheme="minorHAnsi" w:hAnsiTheme="minorHAnsi" w:cstheme="minorHAnsi"/>
              </w:rPr>
              <w:t>Economic and Financial Standing</w:t>
            </w:r>
          </w:p>
        </w:tc>
        <w:tc>
          <w:tcPr>
            <w:tcW w:w="7371" w:type="dxa"/>
          </w:tcPr>
          <w:p w14:paraId="3782F862" w14:textId="746C4BF4" w:rsidR="00382397" w:rsidRPr="00C974E3" w:rsidRDefault="00C974E3" w:rsidP="003823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974E3">
              <w:rPr>
                <w:rFonts w:asciiTheme="minorHAnsi" w:eastAsia="Calibri" w:hAnsiTheme="minorHAnsi" w:cstheme="minorHAnsi"/>
              </w:rPr>
              <w:t xml:space="preserve">SGN will use a financial score from AMEE </w:t>
            </w:r>
            <w:r w:rsidR="004A2EE1">
              <w:rPr>
                <w:rFonts w:asciiTheme="minorHAnsi" w:eastAsia="Calibri" w:hAnsiTheme="minorHAnsi" w:cstheme="minorHAnsi"/>
              </w:rPr>
              <w:t xml:space="preserve">(financial review platform) </w:t>
            </w:r>
            <w:r w:rsidRPr="00C974E3">
              <w:rPr>
                <w:rFonts w:asciiTheme="minorHAnsi" w:eastAsia="Calibri" w:hAnsiTheme="minorHAnsi" w:cstheme="minorHAnsi"/>
              </w:rPr>
              <w:t xml:space="preserve">which should show the Supplier to be above a 2 rating. If Suppliers score a 2 or below, SGN may request evidence to confirm that the Supplier has </w:t>
            </w:r>
            <w:proofErr w:type="gramStart"/>
            <w:r w:rsidRPr="00C974E3">
              <w:rPr>
                <w:rFonts w:asciiTheme="minorHAnsi" w:eastAsia="Calibri" w:hAnsiTheme="minorHAnsi" w:cstheme="minorHAnsi"/>
              </w:rPr>
              <w:t>suffic</w:t>
            </w:r>
            <w:bookmarkStart w:id="19" w:name="_GoBack"/>
            <w:bookmarkEnd w:id="19"/>
            <w:r w:rsidRPr="00C974E3">
              <w:rPr>
                <w:rFonts w:asciiTheme="minorHAnsi" w:eastAsia="Calibri" w:hAnsiTheme="minorHAnsi" w:cstheme="minorHAnsi"/>
              </w:rPr>
              <w:t>ient</w:t>
            </w:r>
            <w:proofErr w:type="gramEnd"/>
            <w:r w:rsidRPr="00C974E3">
              <w:rPr>
                <w:rFonts w:asciiTheme="minorHAnsi" w:eastAsia="Calibri" w:hAnsiTheme="minorHAnsi" w:cstheme="minorHAnsi"/>
              </w:rPr>
              <w:t xml:space="preserve"> financial standing to not present an unmanageable risk. </w:t>
            </w:r>
          </w:p>
        </w:tc>
      </w:tr>
      <w:tr w:rsidR="00382397" w:rsidRPr="00954910" w14:paraId="1806DE7F" w14:textId="77777777" w:rsidTr="003823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561143DF" w14:textId="57F1C30D" w:rsidR="00382397" w:rsidRPr="00954910" w:rsidRDefault="00382397" w:rsidP="00382397">
            <w:pPr>
              <w:rPr>
                <w:rFonts w:asciiTheme="minorHAnsi" w:hAnsiTheme="minorHAnsi" w:cstheme="minorHAnsi"/>
              </w:rPr>
            </w:pPr>
            <w:r w:rsidRPr="003062CC">
              <w:rPr>
                <w:rFonts w:asciiTheme="minorHAnsi" w:hAnsiTheme="minorHAnsi" w:cstheme="minorHAnsi"/>
              </w:rPr>
              <w:t>Insurance</w:t>
            </w:r>
          </w:p>
        </w:tc>
        <w:tc>
          <w:tcPr>
            <w:tcW w:w="7371" w:type="dxa"/>
            <w:vAlign w:val="center"/>
          </w:tcPr>
          <w:p w14:paraId="6F65B5D9" w14:textId="2639491C" w:rsidR="00382397" w:rsidRPr="00C974E3" w:rsidRDefault="00F44810" w:rsidP="0038239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Style w:val="None"/>
                <w:rFonts w:asciiTheme="minorHAnsi" w:hAnsiTheme="minorHAnsi" w:cstheme="minorHAnsi"/>
              </w:rPr>
              <w:t>S</w:t>
            </w:r>
            <w:r>
              <w:rPr>
                <w:rStyle w:val="None"/>
                <w:rFonts w:cstheme="minorHAnsi"/>
              </w:rPr>
              <w:t>uppliers</w:t>
            </w:r>
            <w:r w:rsidR="00310141">
              <w:rPr>
                <w:rStyle w:val="None"/>
                <w:rFonts w:asciiTheme="minorHAnsi" w:hAnsiTheme="minorHAnsi" w:cstheme="minorHAnsi"/>
              </w:rPr>
              <w:t xml:space="preserve"> </w:t>
            </w:r>
            <w:r w:rsidR="00382397" w:rsidRPr="00C974E3">
              <w:rPr>
                <w:rStyle w:val="None"/>
                <w:rFonts w:asciiTheme="minorHAnsi" w:hAnsiTheme="minorHAnsi" w:cstheme="minorHAnsi"/>
              </w:rPr>
              <w:t>must provide copies of their current insurance certificates as part of their tender submission. We will review these polices and further correspondence may be required between the Parties to reach agreement on the suitable insurance policy coverage.</w:t>
            </w:r>
          </w:p>
        </w:tc>
      </w:tr>
      <w:tr w:rsidR="00382397" w:rsidRPr="00954910" w14:paraId="24F7A5C6" w14:textId="77777777" w:rsidTr="00C97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53C3652C" w14:textId="28687EED" w:rsidR="00382397" w:rsidRPr="00954910" w:rsidRDefault="00382397" w:rsidP="00382397">
            <w:pPr>
              <w:rPr>
                <w:rFonts w:asciiTheme="minorHAnsi" w:hAnsiTheme="minorHAnsi" w:cstheme="minorHAnsi"/>
              </w:rPr>
            </w:pPr>
            <w:r w:rsidRPr="003062CC">
              <w:rPr>
                <w:rFonts w:asciiTheme="minorHAnsi" w:hAnsiTheme="minorHAnsi" w:cstheme="minorHAnsi"/>
              </w:rPr>
              <w:t>Safety, Health and Environmental (SHE)</w:t>
            </w:r>
          </w:p>
        </w:tc>
        <w:tc>
          <w:tcPr>
            <w:tcW w:w="7371" w:type="dxa"/>
            <w:shd w:val="clear" w:color="auto" w:fill="auto"/>
          </w:tcPr>
          <w:p w14:paraId="0A0D2D18" w14:textId="76A9580F" w:rsidR="00382397" w:rsidRPr="00C974E3" w:rsidRDefault="00C974E3" w:rsidP="003823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Style w:val="None"/>
                <w:rFonts w:asciiTheme="minorHAnsi" w:hAnsiTheme="minorHAnsi" w:cstheme="minorHAnsi"/>
              </w:rPr>
              <w:t>Suppliers</w:t>
            </w:r>
            <w:r w:rsidR="00382397" w:rsidRPr="00C974E3">
              <w:rPr>
                <w:rStyle w:val="None"/>
                <w:rFonts w:asciiTheme="minorHAnsi" w:hAnsiTheme="minorHAnsi" w:cstheme="minorHAnsi"/>
              </w:rPr>
              <w:t xml:space="preserve"> must evidence robust health and safety policies and processes in operation. </w:t>
            </w:r>
            <w:r>
              <w:rPr>
                <w:rStyle w:val="None"/>
                <w:rFonts w:asciiTheme="minorHAnsi" w:hAnsiTheme="minorHAnsi" w:cstheme="minorHAnsi"/>
              </w:rPr>
              <w:t>S</w:t>
            </w:r>
            <w:r>
              <w:rPr>
                <w:rStyle w:val="None"/>
              </w:rPr>
              <w:t xml:space="preserve">uppliers </w:t>
            </w:r>
            <w:r w:rsidR="00382397" w:rsidRPr="00C974E3">
              <w:rPr>
                <w:rStyle w:val="None"/>
                <w:rFonts w:asciiTheme="minorHAnsi" w:hAnsiTheme="minorHAnsi" w:cstheme="minorHAnsi"/>
              </w:rPr>
              <w:t xml:space="preserve">will also be required to provide their up to date Health &amp; Safety Policy and provide evidence of competency to carry out the works in accordance with, but not limited to, the Health &amp; Safety at Work Act 1974. </w:t>
            </w:r>
          </w:p>
        </w:tc>
      </w:tr>
      <w:tr w:rsidR="00382397" w:rsidRPr="00954910" w14:paraId="3C40139C" w14:textId="77777777" w:rsidTr="00C974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0AF65691" w14:textId="08571A3F" w:rsidR="00382397" w:rsidRPr="00954910" w:rsidRDefault="00382397" w:rsidP="00382397">
            <w:pPr>
              <w:rPr>
                <w:rFonts w:asciiTheme="minorHAnsi" w:hAnsiTheme="minorHAnsi" w:cstheme="minorHAnsi"/>
              </w:rPr>
            </w:pPr>
            <w:r w:rsidRPr="003062CC">
              <w:rPr>
                <w:rFonts w:asciiTheme="minorHAnsi" w:hAnsiTheme="minorHAnsi" w:cstheme="minorHAnsi"/>
              </w:rPr>
              <w:t>Conflict of Interest</w:t>
            </w:r>
          </w:p>
        </w:tc>
        <w:tc>
          <w:tcPr>
            <w:tcW w:w="7371" w:type="dxa"/>
            <w:shd w:val="clear" w:color="auto" w:fill="auto"/>
          </w:tcPr>
          <w:p w14:paraId="2763AD81" w14:textId="1096929F" w:rsidR="00382397" w:rsidRPr="00C974E3" w:rsidRDefault="00382397" w:rsidP="0038239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C974E3">
              <w:rPr>
                <w:rFonts w:asciiTheme="minorHAnsi" w:hAnsiTheme="minorHAnsi" w:cstheme="minorHAnsi"/>
              </w:rPr>
              <w:t>In this</w:t>
            </w:r>
            <w:r w:rsidRPr="00C974E3">
              <w:rPr>
                <w:rFonts w:asciiTheme="minorHAnsi" w:hAnsiTheme="minorHAnsi" w:cstheme="minorHAnsi"/>
                <w:b/>
                <w:bCs/>
              </w:rPr>
              <w:t xml:space="preserve"> </w:t>
            </w:r>
            <w:r w:rsidRPr="00C974E3">
              <w:rPr>
                <w:rFonts w:asciiTheme="minorHAnsi" w:hAnsiTheme="minorHAnsi" w:cstheme="minorHAnsi"/>
              </w:rPr>
              <w:t xml:space="preserve">section, failure to disclose information relevant to this question or serious misrepresentation in relation to the information disclosed </w:t>
            </w:r>
            <w:r w:rsidRPr="00C974E3">
              <w:rPr>
                <w:rFonts w:asciiTheme="minorHAnsi" w:hAnsiTheme="minorHAnsi" w:cstheme="minorHAnsi"/>
                <w:b/>
                <w:bCs/>
              </w:rPr>
              <w:t xml:space="preserve">may </w:t>
            </w:r>
            <w:r w:rsidRPr="00C974E3">
              <w:rPr>
                <w:rFonts w:asciiTheme="minorHAnsi" w:hAnsiTheme="minorHAnsi" w:cstheme="minorHAnsi"/>
              </w:rPr>
              <w:t>result in your exclusion from this tender or the termination of any subsequent contract that may be awarded.</w:t>
            </w:r>
          </w:p>
        </w:tc>
      </w:tr>
      <w:tr w:rsidR="00382397" w:rsidRPr="00954910" w14:paraId="278F8814" w14:textId="77777777" w:rsidTr="0038239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117" w:type="dxa"/>
          </w:tcPr>
          <w:p w14:paraId="4E3BF487" w14:textId="7B8385EC" w:rsidR="00382397" w:rsidRPr="00954910" w:rsidRDefault="00382397" w:rsidP="00382397">
            <w:pPr>
              <w:rPr>
                <w:rFonts w:asciiTheme="minorHAnsi" w:hAnsiTheme="minorHAnsi" w:cstheme="minorHAnsi"/>
              </w:rPr>
            </w:pPr>
            <w:r w:rsidRPr="003062CC">
              <w:rPr>
                <w:rFonts w:asciiTheme="minorHAnsi" w:hAnsiTheme="minorHAnsi" w:cstheme="minorHAnsi"/>
              </w:rPr>
              <w:t>Technical and Professional Ability</w:t>
            </w:r>
          </w:p>
        </w:tc>
        <w:tc>
          <w:tcPr>
            <w:tcW w:w="7371" w:type="dxa"/>
          </w:tcPr>
          <w:p w14:paraId="6D20B402" w14:textId="7E31D3B2" w:rsidR="00382397" w:rsidRPr="00C974E3" w:rsidRDefault="00C974E3" w:rsidP="003823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974E3">
              <w:rPr>
                <w:rFonts w:asciiTheme="minorHAnsi" w:hAnsiTheme="minorHAnsi" w:cstheme="minorHAnsi"/>
              </w:rPr>
              <w:t xml:space="preserve">Suppliers should evidence up to 3 previous examples of supplies or services carried out in the past </w:t>
            </w:r>
            <w:r w:rsidR="00982DA3">
              <w:rPr>
                <w:rFonts w:asciiTheme="minorHAnsi" w:hAnsiTheme="minorHAnsi" w:cstheme="minorHAnsi"/>
              </w:rPr>
              <w:t>five</w:t>
            </w:r>
            <w:r w:rsidRPr="00C974E3">
              <w:rPr>
                <w:rFonts w:asciiTheme="minorHAnsi" w:hAnsiTheme="minorHAnsi" w:cstheme="minorHAnsi"/>
              </w:rPr>
              <w:t xml:space="preserve"> years to demonstrate that they have the relevant experience to deliver the scope of this contract. </w:t>
            </w:r>
            <w:r w:rsidR="00982DA3">
              <w:rPr>
                <w:rFonts w:asciiTheme="minorHAnsi" w:hAnsiTheme="minorHAnsi" w:cstheme="minorHAnsi"/>
              </w:rPr>
              <w:t xml:space="preserve">Suppliers who fail to evidence </w:t>
            </w:r>
            <w:proofErr w:type="gramStart"/>
            <w:r w:rsidR="00982DA3">
              <w:rPr>
                <w:rFonts w:asciiTheme="minorHAnsi" w:hAnsiTheme="minorHAnsi" w:cstheme="minorHAnsi"/>
              </w:rPr>
              <w:t>past experience</w:t>
            </w:r>
            <w:proofErr w:type="gramEnd"/>
            <w:r w:rsidR="00982DA3">
              <w:rPr>
                <w:rFonts w:asciiTheme="minorHAnsi" w:hAnsiTheme="minorHAnsi" w:cstheme="minorHAnsi"/>
              </w:rPr>
              <w:t xml:space="preserve"> in the view of SGN may result in failing this PQQ.</w:t>
            </w:r>
          </w:p>
        </w:tc>
      </w:tr>
      <w:tr w:rsidR="00382397" w:rsidRPr="00954910" w14:paraId="5CC8F8FC" w14:textId="77777777" w:rsidTr="003823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07C1AD81" w14:textId="7FB5965B" w:rsidR="00382397" w:rsidRPr="00954910" w:rsidRDefault="00382397" w:rsidP="00382397">
            <w:pPr>
              <w:rPr>
                <w:rFonts w:asciiTheme="minorHAnsi" w:hAnsiTheme="minorHAnsi" w:cstheme="minorHAnsi"/>
              </w:rPr>
            </w:pPr>
            <w:r w:rsidRPr="003062CC">
              <w:rPr>
                <w:rFonts w:asciiTheme="minorHAnsi" w:hAnsiTheme="minorHAnsi" w:cstheme="minorHAnsi"/>
              </w:rPr>
              <w:t>Quality Policies, Systems &amp; Practices</w:t>
            </w:r>
          </w:p>
        </w:tc>
        <w:tc>
          <w:tcPr>
            <w:tcW w:w="7371" w:type="dxa"/>
          </w:tcPr>
          <w:p w14:paraId="2C29EAB5" w14:textId="7EB68AB7" w:rsidR="00382397" w:rsidRPr="00C974E3" w:rsidRDefault="00C974E3" w:rsidP="0038239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Style w:val="None"/>
                <w:rFonts w:asciiTheme="minorHAnsi" w:hAnsiTheme="minorHAnsi" w:cstheme="minorHAnsi"/>
              </w:rPr>
              <w:t>S</w:t>
            </w:r>
            <w:r>
              <w:rPr>
                <w:rStyle w:val="None"/>
              </w:rPr>
              <w:t xml:space="preserve">uppliers </w:t>
            </w:r>
            <w:r w:rsidR="00382397" w:rsidRPr="00C974E3">
              <w:rPr>
                <w:rStyle w:val="None"/>
                <w:rFonts w:asciiTheme="minorHAnsi" w:hAnsiTheme="minorHAnsi" w:cstheme="minorHAnsi"/>
              </w:rPr>
              <w:t xml:space="preserve">must provide evidence of robust </w:t>
            </w:r>
            <w:r w:rsidR="00F44810">
              <w:rPr>
                <w:rStyle w:val="None"/>
                <w:rFonts w:asciiTheme="minorHAnsi" w:hAnsiTheme="minorHAnsi" w:cstheme="minorHAnsi"/>
              </w:rPr>
              <w:t>q</w:t>
            </w:r>
            <w:r w:rsidR="00382397" w:rsidRPr="00C974E3">
              <w:rPr>
                <w:rStyle w:val="None"/>
                <w:rFonts w:asciiTheme="minorHAnsi" w:hAnsiTheme="minorHAnsi" w:cstheme="minorHAnsi"/>
              </w:rPr>
              <w:t xml:space="preserve">uality policies and systems / practices in operation. </w:t>
            </w:r>
            <w:r>
              <w:rPr>
                <w:rStyle w:val="None"/>
                <w:rFonts w:asciiTheme="minorHAnsi" w:hAnsiTheme="minorHAnsi" w:cstheme="minorHAnsi"/>
              </w:rPr>
              <w:t>S</w:t>
            </w:r>
            <w:r>
              <w:rPr>
                <w:rStyle w:val="None"/>
              </w:rPr>
              <w:t>uppliers</w:t>
            </w:r>
            <w:r w:rsidR="00382397" w:rsidRPr="00C974E3">
              <w:rPr>
                <w:rStyle w:val="None"/>
                <w:rFonts w:asciiTheme="minorHAnsi" w:hAnsiTheme="minorHAnsi" w:cstheme="minorHAnsi"/>
              </w:rPr>
              <w:t xml:space="preserve"> will also be required to provide details of their Quality Assurance accreditation or their up to date Quality Policy.</w:t>
            </w:r>
          </w:p>
        </w:tc>
      </w:tr>
    </w:tbl>
    <w:p w14:paraId="00BFB2C8" w14:textId="77777777" w:rsidR="00382397" w:rsidRDefault="00382397" w:rsidP="00382397">
      <w:pPr>
        <w:pStyle w:val="Default"/>
        <w:ind w:right="-188"/>
        <w:rPr>
          <w:sz w:val="22"/>
          <w:szCs w:val="22"/>
        </w:rPr>
      </w:pPr>
    </w:p>
    <w:p w14:paraId="53DB80F7" w14:textId="0F112151" w:rsidR="00D11435" w:rsidRDefault="00382397" w:rsidP="004934C4">
      <w:pPr>
        <w:pStyle w:val="Default"/>
        <w:ind w:right="-188"/>
      </w:pPr>
      <w:r w:rsidRPr="00C76D33">
        <w:rPr>
          <w:sz w:val="22"/>
          <w:szCs w:val="22"/>
        </w:rPr>
        <w:t>It is at the Authorities sole discretion whether these minimum standards have been met and whether your tender submission will proceed to award criteria.</w:t>
      </w:r>
      <w:bookmarkEnd w:id="1"/>
    </w:p>
    <w:p w14:paraId="0DAAEDA2" w14:textId="566593B1" w:rsidR="00D11435" w:rsidRDefault="00AA3EB5" w:rsidP="00D11435">
      <w:pPr>
        <w:pStyle w:val="Appendix"/>
      </w:pPr>
      <w:bookmarkStart w:id="20" w:name="_Toc18661792"/>
      <w:bookmarkStart w:id="21" w:name="_Toc423599387"/>
      <w:r>
        <w:t>Prequalification Questionnaire</w:t>
      </w:r>
      <w:bookmarkEnd w:id="20"/>
      <w:r>
        <w:t xml:space="preserve"> </w:t>
      </w:r>
      <w:bookmarkEnd w:id="21"/>
    </w:p>
    <w:p w14:paraId="367D7069" w14:textId="11DFC592" w:rsidR="00D4722C" w:rsidRDefault="00D4722C" w:rsidP="005A41BE"/>
    <w:bookmarkStart w:id="22" w:name="_MON_1629530061"/>
    <w:bookmarkEnd w:id="22"/>
    <w:p w14:paraId="50AB2FEE" w14:textId="3A55916E" w:rsidR="00AA3EB5" w:rsidRDefault="00BD7B4C" w:rsidP="005A41BE">
      <w:r>
        <w:object w:dxaOrig="1503" w:dyaOrig="983" w14:anchorId="0D8CC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21" o:title=""/>
          </v:shape>
          <o:OLEObject Type="Embed" ProgID="Excel.SheetMacroEnabled.12" ShapeID="_x0000_i1025" DrawAspect="Icon" ObjectID="_1629547605" r:id="rId22"/>
        </w:object>
      </w:r>
    </w:p>
    <w:p w14:paraId="789EF450" w14:textId="77777777" w:rsidR="00AA3EB5" w:rsidRPr="005A41BE" w:rsidRDefault="00AA3EB5" w:rsidP="005A41BE"/>
    <w:sectPr w:rsidR="00AA3EB5" w:rsidRPr="005A41BE" w:rsidSect="00EE579E">
      <w:headerReference w:type="default" r:id="rId23"/>
      <w:footerReference w:type="default" r:id="rId24"/>
      <w:headerReference w:type="first" r:id="rId25"/>
      <w:pgSz w:w="11906" w:h="16838" w:code="9"/>
      <w:pgMar w:top="1644" w:right="1134" w:bottom="1134"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06AE5" w14:textId="77777777" w:rsidR="000562FC" w:rsidRDefault="000562FC" w:rsidP="004170E3">
      <w:r>
        <w:separator/>
      </w:r>
    </w:p>
  </w:endnote>
  <w:endnote w:type="continuationSeparator" w:id="0">
    <w:p w14:paraId="60F0E4C3" w14:textId="77777777" w:rsidR="000562FC" w:rsidRDefault="000562FC" w:rsidP="0041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FCEB7" w14:textId="77777777" w:rsidR="004A2EE1" w:rsidRDefault="004A2E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2983B" w14:textId="77777777" w:rsidR="00B95556" w:rsidRDefault="00B95556">
    <w:pPr>
      <w:pStyle w:val="Footer"/>
    </w:pPr>
  </w:p>
  <w:p w14:paraId="1666F1D1" w14:textId="77777777" w:rsidR="00B95556" w:rsidRDefault="00B95556">
    <w:pPr>
      <w:pStyle w:val="Footer"/>
    </w:pPr>
    <w:r w:rsidRPr="002772B7">
      <w:rPr>
        <w:b/>
        <w:color w:val="FFFFFF" w:themeColor="background1"/>
      </w:rPr>
      <w:fldChar w:fldCharType="begin"/>
    </w:r>
    <w:r w:rsidRPr="002772B7">
      <w:rPr>
        <w:b/>
        <w:color w:val="FFFFFF" w:themeColor="background1"/>
      </w:rPr>
      <w:instrText xml:space="preserve"> PAGE   \* MERGEFORMAT </w:instrText>
    </w:r>
    <w:r w:rsidRPr="002772B7">
      <w:rPr>
        <w:b/>
        <w:color w:val="FFFFFF" w:themeColor="background1"/>
      </w:rPr>
      <w:fldChar w:fldCharType="separate"/>
    </w:r>
    <w:r w:rsidRPr="00D11435">
      <w:rPr>
        <w:b/>
        <w:noProof/>
      </w:rPr>
      <w:t>2</w:t>
    </w:r>
    <w:r w:rsidRPr="002772B7">
      <w:rPr>
        <w:b/>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D89AE" w14:textId="77777777" w:rsidR="004A2EE1" w:rsidRDefault="004A2E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A9A1A" w14:textId="77777777" w:rsidR="00B95556" w:rsidRDefault="00B95556">
    <w:pPr>
      <w:pStyle w:val="Footer"/>
      <w:rPr>
        <w:b/>
      </w:rPr>
    </w:pPr>
    <w:r>
      <w:rPr>
        <w:noProof/>
        <w:lang w:val="en-US"/>
      </w:rPr>
      <w:drawing>
        <wp:anchor distT="0" distB="0" distL="114300" distR="114300" simplePos="0" relativeHeight="251660288" behindDoc="1" locked="1" layoutInCell="1" allowOverlap="1" wp14:anchorId="5CEC5FE1" wp14:editId="73273565">
          <wp:simplePos x="0" y="0"/>
          <wp:positionH relativeFrom="rightMargin">
            <wp:posOffset>-1805082</wp:posOffset>
          </wp:positionH>
          <wp:positionV relativeFrom="bottomMargin">
            <wp:posOffset>3233</wp:posOffset>
          </wp:positionV>
          <wp:extent cx="2541600" cy="712800"/>
          <wp:effectExtent l="0" t="0" r="0" b="0"/>
          <wp:wrapNone/>
          <wp:docPr id="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1600" cy="712800"/>
                  </a:xfrm>
                  <a:prstGeom prst="rect">
                    <a:avLst/>
                  </a:prstGeom>
                  <a:noFill/>
                </pic:spPr>
              </pic:pic>
            </a:graphicData>
          </a:graphic>
        </wp:anchor>
      </w:drawing>
    </w:r>
  </w:p>
  <w:p w14:paraId="0366B52F" w14:textId="07060983" w:rsidR="00B95556" w:rsidRPr="00EF4958" w:rsidRDefault="00B95556">
    <w:pPr>
      <w:pStyle w:val="Footer"/>
      <w:rPr>
        <w:color w:val="FFFFFF" w:themeColor="background1"/>
      </w:rPr>
    </w:pPr>
    <w:r w:rsidRPr="002772B7">
      <w:rPr>
        <w:b/>
        <w:color w:val="FFFFFF" w:themeColor="background1"/>
      </w:rPr>
      <w:fldChar w:fldCharType="begin"/>
    </w:r>
    <w:r w:rsidRPr="002772B7">
      <w:rPr>
        <w:b/>
        <w:color w:val="FFFFFF" w:themeColor="background1"/>
      </w:rPr>
      <w:instrText xml:space="preserve"> PAGE   \* MERGEFORMAT </w:instrText>
    </w:r>
    <w:r w:rsidRPr="002772B7">
      <w:rPr>
        <w:b/>
        <w:color w:val="FFFFFF" w:themeColor="background1"/>
      </w:rPr>
      <w:fldChar w:fldCharType="separate"/>
    </w:r>
    <w:r w:rsidRPr="00D11435">
      <w:rPr>
        <w:b/>
        <w:noProof/>
      </w:rPr>
      <w:t>3</w:t>
    </w:r>
    <w:r w:rsidRPr="002772B7">
      <w:rPr>
        <w:b/>
        <w:color w:val="FFFFFF" w:themeColor="background1"/>
      </w:rPr>
      <w:fldChar w:fldCharType="end"/>
    </w:r>
    <w:r>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773DC" w14:textId="77777777" w:rsidR="000562FC" w:rsidRDefault="000562FC" w:rsidP="004170E3">
      <w:r>
        <w:separator/>
      </w:r>
    </w:p>
  </w:footnote>
  <w:footnote w:type="continuationSeparator" w:id="0">
    <w:p w14:paraId="328CC402" w14:textId="77777777" w:rsidR="000562FC" w:rsidRDefault="000562FC" w:rsidP="00417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60CBD" w14:textId="77777777" w:rsidR="004A2EE1" w:rsidRDefault="004A2E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8AF1" w14:textId="77777777" w:rsidR="00B95556" w:rsidRPr="00E41BF0" w:rsidRDefault="00B95556" w:rsidP="004170E3">
    <w:pPr>
      <w:pStyle w:val="Header"/>
      <w:rPr>
        <w:color w:val="FFFFFF" w:themeColor="background1"/>
      </w:rPr>
    </w:pPr>
    <w:r w:rsidRPr="00E41BF0">
      <w:rPr>
        <w:rFonts w:asciiTheme="majorHAnsi" w:hAnsiTheme="majorHAnsi"/>
        <w:b/>
        <w:bCs/>
        <w:noProof/>
        <w:color w:val="FFFFFF" w:themeColor="background1"/>
        <w:sz w:val="114"/>
        <w:szCs w:val="114"/>
        <w:lang w:val="en-US"/>
      </w:rPr>
      <w:drawing>
        <wp:anchor distT="0" distB="0" distL="114300" distR="114300" simplePos="0" relativeHeight="251662336" behindDoc="1" locked="1" layoutInCell="1" allowOverlap="1" wp14:anchorId="237588D3" wp14:editId="6F0EC60A">
          <wp:simplePos x="0" y="0"/>
          <wp:positionH relativeFrom="page">
            <wp:posOffset>-11430</wp:posOffset>
          </wp:positionH>
          <wp:positionV relativeFrom="page">
            <wp:posOffset>0</wp:posOffset>
          </wp:positionV>
          <wp:extent cx="7595870" cy="10742295"/>
          <wp:effectExtent l="0" t="0" r="5080" b="1905"/>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Spreads with blanks3.png"/>
                  <pic:cNvPicPr/>
                </pic:nvPicPr>
                <pic:blipFill>
                  <a:blip r:embed="rId1">
                    <a:extLst>
                      <a:ext uri="{28A0092B-C50C-407E-A947-70E740481C1C}">
                        <a14:useLocalDpi xmlns:a14="http://schemas.microsoft.com/office/drawing/2010/main" val="0"/>
                      </a:ext>
                    </a:extLst>
                  </a:blip>
                  <a:stretch>
                    <a:fillRect/>
                  </a:stretch>
                </pic:blipFill>
                <pic:spPr>
                  <a:xfrm>
                    <a:off x="0" y="0"/>
                    <a:ext cx="7595870" cy="1074229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F8A5E" w14:textId="77777777" w:rsidR="00B95556" w:rsidRDefault="00B95556" w:rsidP="004170E3">
    <w:pPr>
      <w:pStyle w:val="Header"/>
    </w:pPr>
    <w:r>
      <w:rPr>
        <w:noProof/>
        <w:lang w:val="en-US"/>
      </w:rPr>
      <w:drawing>
        <wp:anchor distT="0" distB="0" distL="114300" distR="114300" simplePos="0" relativeHeight="251663360" behindDoc="1" locked="1" layoutInCell="1" allowOverlap="1" wp14:anchorId="24D06119" wp14:editId="6929D279">
          <wp:simplePos x="0" y="0"/>
          <wp:positionH relativeFrom="page">
            <wp:posOffset>0</wp:posOffset>
          </wp:positionH>
          <wp:positionV relativeFrom="page">
            <wp:posOffset>10795</wp:posOffset>
          </wp:positionV>
          <wp:extent cx="7577455" cy="10694035"/>
          <wp:effectExtent l="19050" t="0" r="4445"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Spreads with blanks.png"/>
                  <pic:cNvPicPr/>
                </pic:nvPicPr>
                <pic:blipFill>
                  <a:blip r:embed="rId1"/>
                  <a:stretch>
                    <a:fillRect/>
                  </a:stretch>
                </pic:blipFill>
                <pic:spPr>
                  <a:xfrm>
                    <a:off x="0" y="0"/>
                    <a:ext cx="7577455" cy="10694035"/>
                  </a:xfrm>
                  <a:prstGeom prst="rect">
                    <a:avLst/>
                  </a:prstGeom>
                </pic:spPr>
              </pic:pic>
            </a:graphicData>
          </a:graphic>
        </wp:anchor>
      </w:drawing>
    </w:r>
  </w:p>
  <w:p w14:paraId="311C3115" w14:textId="77777777" w:rsidR="00B95556" w:rsidRDefault="00B95556" w:rsidP="004170E3">
    <w:pPr>
      <w:pStyle w:val="Header"/>
    </w:pPr>
  </w:p>
  <w:p w14:paraId="2193D310" w14:textId="77777777" w:rsidR="00B95556" w:rsidRDefault="00B95556" w:rsidP="004170E3">
    <w:pPr>
      <w:pStyle w:val="Header"/>
    </w:pPr>
  </w:p>
  <w:p w14:paraId="3F14DDE3" w14:textId="77777777" w:rsidR="00B95556" w:rsidRDefault="00B95556" w:rsidP="004170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F5FDD" w14:textId="77777777" w:rsidR="00B95556" w:rsidRDefault="00B95556" w:rsidP="004170E3">
    <w:pPr>
      <w:pStyle w:val="Header"/>
    </w:pPr>
    <w:r>
      <w:rPr>
        <w:noProof/>
        <w:lang w:val="en-US"/>
      </w:rPr>
      <w:drawing>
        <wp:anchor distT="0" distB="0" distL="114300" distR="114300" simplePos="0" relativeHeight="251658240" behindDoc="1" locked="0" layoutInCell="1" allowOverlap="1" wp14:anchorId="047C565C" wp14:editId="3109B834">
          <wp:simplePos x="0" y="0"/>
          <wp:positionH relativeFrom="column">
            <wp:posOffset>1905</wp:posOffset>
          </wp:positionH>
          <wp:positionV relativeFrom="paragraph">
            <wp:posOffset>159385</wp:posOffset>
          </wp:positionV>
          <wp:extent cx="6320155" cy="275590"/>
          <wp:effectExtent l="0" t="0" r="4445" b="0"/>
          <wp:wrapNone/>
          <wp:docPr id="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0155" cy="2755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2DD8D8F" w14:textId="1A735627" w:rsidR="00B95556" w:rsidRPr="00946468" w:rsidRDefault="00B95556" w:rsidP="002772B7">
    <w:pPr>
      <w:pStyle w:val="Header"/>
    </w:pPr>
    <w:r w:rsidRPr="00946468">
      <w:tab/>
    </w:r>
    <w:r>
      <w:t>Classification: Highly confidential/Confidential</w:t>
    </w:r>
    <w:r w:rsidR="00F44810">
      <w:tab/>
    </w:r>
    <w:r w:rsidR="00F44810">
      <w:tab/>
    </w:r>
    <w:r w:rsidR="00F44810">
      <w:tab/>
    </w:r>
    <w:r w:rsidR="00F44810">
      <w:tab/>
    </w:r>
    <w:r w:rsidR="00F44810">
      <w:tab/>
      <w:t>6</w:t>
    </w:r>
    <w:r w:rsidR="00F44810" w:rsidRPr="004A2EE1">
      <w:rPr>
        <w:vertAlign w:val="superscript"/>
      </w:rPr>
      <w:t>th</w:t>
    </w:r>
    <w:r w:rsidR="00F44810">
      <w:t xml:space="preserve"> September 2019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D2681" w14:textId="77777777" w:rsidR="00B95556" w:rsidRDefault="00B95556" w:rsidP="004170E3">
    <w:pPr>
      <w:pStyle w:val="Header"/>
    </w:pPr>
  </w:p>
  <w:p w14:paraId="585B0492" w14:textId="77777777" w:rsidR="00B95556" w:rsidRDefault="00B95556" w:rsidP="004170E3">
    <w:pPr>
      <w:pStyle w:val="Header"/>
    </w:pPr>
  </w:p>
  <w:p w14:paraId="36CB297C" w14:textId="77777777" w:rsidR="00B95556" w:rsidRDefault="00B95556" w:rsidP="004170E3">
    <w:pPr>
      <w:pStyle w:val="Header"/>
    </w:pPr>
  </w:p>
  <w:p w14:paraId="2B0348B9" w14:textId="77777777" w:rsidR="00B95556" w:rsidRDefault="00B95556" w:rsidP="00417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2533"/>
    <w:multiLevelType w:val="multilevel"/>
    <w:tmpl w:val="24A4F43E"/>
    <w:styleLink w:val="NumbListHeadings"/>
    <w:lvl w:ilvl="0">
      <w:start w:val="1"/>
      <w:numFmt w:val="decimal"/>
      <w:pStyle w:val="Heading1"/>
      <w:suff w:val="nothing"/>
      <w:lvlText w:val="%1  "/>
      <w:lvlJc w:val="left"/>
      <w:pPr>
        <w:ind w:left="3828" w:firstLine="0"/>
      </w:pPr>
      <w:rPr>
        <w:rFonts w:hint="default"/>
        <w:color w:val="002249"/>
      </w:rPr>
    </w:lvl>
    <w:lvl w:ilvl="1">
      <w:start w:val="1"/>
      <w:numFmt w:val="decimal"/>
      <w:pStyle w:val="Heading2"/>
      <w:suff w:val="nothing"/>
      <w:lvlText w:val="%1.%2  "/>
      <w:lvlJc w:val="left"/>
      <w:pPr>
        <w:ind w:left="0" w:firstLine="0"/>
      </w:pPr>
      <w:rPr>
        <w:rFonts w:hint="default"/>
      </w:rPr>
    </w:lvl>
    <w:lvl w:ilvl="2">
      <w:start w:val="1"/>
      <w:numFmt w:val="none"/>
      <w:pStyle w:val="Heading3"/>
      <w:suff w:val="nothing"/>
      <w:lvlText w:val="%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1B2A78"/>
    <w:multiLevelType w:val="multilevel"/>
    <w:tmpl w:val="D90AE592"/>
    <w:styleLink w:val="NumbListBullet"/>
    <w:lvl w:ilvl="0">
      <w:start w:val="1"/>
      <w:numFmt w:val="bullet"/>
      <w:pStyle w:val="Bullet1"/>
      <w:lvlText w:val=""/>
      <w:lvlJc w:val="left"/>
      <w:pPr>
        <w:ind w:left="284" w:hanging="284"/>
      </w:pPr>
      <w:rPr>
        <w:rFonts w:ascii="Symbol" w:hAnsi="Symbol" w:hint="default"/>
        <w:color w:val="EA5B16" w:themeColor="text2"/>
      </w:rPr>
    </w:lvl>
    <w:lvl w:ilvl="1">
      <w:start w:val="1"/>
      <w:numFmt w:val="bullet"/>
      <w:pStyle w:val="Bullet2"/>
      <w:lvlText w:val=""/>
      <w:lvlJc w:val="left"/>
      <w:pPr>
        <w:ind w:left="567" w:hanging="283"/>
      </w:pPr>
      <w:rPr>
        <w:rFonts w:ascii="Symbol" w:hAnsi="Symbol" w:hint="default"/>
        <w:color w:val="EA5B16" w:themeColor="text2"/>
      </w:rPr>
    </w:lvl>
    <w:lvl w:ilvl="2">
      <w:start w:val="1"/>
      <w:numFmt w:val="none"/>
      <w:lvlText w:val="%3"/>
      <w:lvlJc w:val="left"/>
      <w:pPr>
        <w:ind w:left="567" w:firstLine="0"/>
      </w:pPr>
      <w:rPr>
        <w:rFonts w:hint="default"/>
      </w:rPr>
    </w:lvl>
    <w:lvl w:ilvl="3">
      <w:start w:val="1"/>
      <w:numFmt w:val="none"/>
      <w:lvlText w:val=""/>
      <w:lvlJc w:val="left"/>
      <w:pPr>
        <w:ind w:left="567"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9A3F83"/>
    <w:multiLevelType w:val="multilevel"/>
    <w:tmpl w:val="B8D69894"/>
    <w:styleLink w:val="NumbListApp"/>
    <w:lvl w:ilvl="0">
      <w:start w:val="1"/>
      <w:numFmt w:val="upperLetter"/>
      <w:pStyle w:val="Appendix"/>
      <w:suff w:val="nothing"/>
      <w:lvlText w:val="Appendix %1 - "/>
      <w:lvlJc w:val="left"/>
      <w:pPr>
        <w:ind w:left="0" w:firstLine="0"/>
      </w:pPr>
      <w:rPr>
        <w:rFonts w:hint="default"/>
      </w:rPr>
    </w:lvl>
    <w:lvl w:ilvl="1">
      <w:start w:val="1"/>
      <w:numFmt w:val="none"/>
      <w:lvlText w:val=""/>
      <w:lvlJc w:val="left"/>
      <w:pPr>
        <w:ind w:left="0" w:firstLine="0"/>
      </w:pPr>
      <w:rPr>
        <w:rFonts w:hint="default"/>
      </w:rPr>
    </w:lvl>
    <w:lvl w:ilvl="2">
      <w:start w:val="1"/>
      <w:numFmt w:val="none"/>
      <w:suff w:val="nothing"/>
      <w:lvlText w:val="%3"/>
      <w:lvlJc w:val="right"/>
      <w:pPr>
        <w:ind w:left="0" w:firstLine="0"/>
      </w:pPr>
      <w:rPr>
        <w:rFonts w:hint="default"/>
      </w:rPr>
    </w:lvl>
    <w:lvl w:ilvl="3">
      <w:start w:val="1"/>
      <w:numFmt w:val="none"/>
      <w:suff w:val="nothing"/>
      <w:lvlText w:val="%4"/>
      <w:lvlJc w:val="left"/>
      <w:pPr>
        <w:ind w:left="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DAE47EE"/>
    <w:multiLevelType w:val="multilevel"/>
    <w:tmpl w:val="3F0ADEE2"/>
    <w:styleLink w:val="NumbListNumb"/>
    <w:lvl w:ilvl="0">
      <w:start w:val="1"/>
      <w:numFmt w:val="decimal"/>
      <w:pStyle w:val="NumbList1"/>
      <w:lvlText w:val="%1."/>
      <w:lvlJc w:val="left"/>
      <w:pPr>
        <w:ind w:left="284" w:hanging="284"/>
      </w:pPr>
      <w:rPr>
        <w:rFonts w:hint="default"/>
        <w:color w:val="EA5B16" w:themeColor="text2"/>
      </w:rPr>
    </w:lvl>
    <w:lvl w:ilvl="1">
      <w:start w:val="1"/>
      <w:numFmt w:val="lowerLetter"/>
      <w:pStyle w:val="NumbList2"/>
      <w:lvlText w:val="%2."/>
      <w:lvlJc w:val="left"/>
      <w:pPr>
        <w:ind w:left="567" w:hanging="283"/>
      </w:pPr>
      <w:rPr>
        <w:rFonts w:hint="default"/>
        <w:color w:val="EA5B16" w:themeColor="text2"/>
      </w:rPr>
    </w:lvl>
    <w:lvl w:ilvl="2">
      <w:start w:val="1"/>
      <w:numFmt w:val="none"/>
      <w:lvlText w:val="%3"/>
      <w:lvlJc w:val="left"/>
      <w:pPr>
        <w:ind w:left="567" w:firstLine="0"/>
      </w:pPr>
      <w:rPr>
        <w:rFonts w:hint="default"/>
      </w:rPr>
    </w:lvl>
    <w:lvl w:ilvl="3">
      <w:start w:val="1"/>
      <w:numFmt w:val="none"/>
      <w:lvlText w:val=""/>
      <w:lvlJc w:val="left"/>
      <w:pPr>
        <w:ind w:left="567"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4471EF"/>
    <w:multiLevelType w:val="multilevel"/>
    <w:tmpl w:val="547689EC"/>
    <w:lvl w:ilvl="0">
      <w:start w:val="1"/>
      <w:numFmt w:val="decimal"/>
      <w:pStyle w:val="SGNHeading1"/>
      <w:lvlText w:val="%1"/>
      <w:lvlJc w:val="left"/>
      <w:pPr>
        <w:tabs>
          <w:tab w:val="num" w:pos="432"/>
        </w:tabs>
        <w:ind w:left="432" w:hanging="432"/>
      </w:pPr>
    </w:lvl>
    <w:lvl w:ilvl="1">
      <w:start w:val="1"/>
      <w:numFmt w:val="decimal"/>
      <w:pStyle w:val="Style1"/>
      <w:lvlText w:val="%1.%2"/>
      <w:lvlJc w:val="left"/>
      <w:pPr>
        <w:tabs>
          <w:tab w:val="num" w:pos="576"/>
        </w:tabs>
        <w:ind w:left="576" w:hanging="576"/>
      </w:pPr>
      <w:rPr>
        <w:sz w:val="28"/>
        <w:szCs w:val="28"/>
      </w:rPr>
    </w:lvl>
    <w:lvl w:ilvl="2">
      <w:start w:val="1"/>
      <w:numFmt w:val="decimal"/>
      <w:pStyle w:val="SGNHEading3"/>
      <w:lvlText w:val="%1.%2.%3"/>
      <w:lvlJc w:val="left"/>
      <w:pPr>
        <w:tabs>
          <w:tab w:val="num" w:pos="1004"/>
        </w:tabs>
        <w:ind w:left="1004"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CDE4FA2"/>
    <w:multiLevelType w:val="multilevel"/>
    <w:tmpl w:val="D8E0AF9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E5848CE"/>
    <w:multiLevelType w:val="multilevel"/>
    <w:tmpl w:val="74405B9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F7B6392"/>
    <w:multiLevelType w:val="multilevel"/>
    <w:tmpl w:val="D90AE592"/>
    <w:numStyleLink w:val="NumbListBullet"/>
  </w:abstractNum>
  <w:abstractNum w:abstractNumId="8" w15:restartNumberingAfterBreak="0">
    <w:nsid w:val="5013306F"/>
    <w:multiLevelType w:val="multilevel"/>
    <w:tmpl w:val="24A4F43E"/>
    <w:numStyleLink w:val="NumbListHeadings"/>
  </w:abstractNum>
  <w:num w:numId="1">
    <w:abstractNumId w:val="1"/>
  </w:num>
  <w:num w:numId="2">
    <w:abstractNumId w:val="7"/>
  </w:num>
  <w:num w:numId="3">
    <w:abstractNumId w:val="3"/>
  </w:num>
  <w:num w:numId="4">
    <w:abstractNumId w:val="0"/>
  </w:num>
  <w:num w:numId="5">
    <w:abstractNumId w:val="2"/>
  </w:num>
  <w:num w:numId="6">
    <w:abstractNumId w:val="8"/>
  </w:num>
  <w:num w:numId="7">
    <w:abstractNumId w:val="4"/>
  </w:num>
  <w:num w:numId="8">
    <w:abstractNumId w:val="5"/>
  </w:num>
  <w:num w:numId="9">
    <w:abstractNumId w:val="6"/>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77B"/>
    <w:rsid w:val="000562FC"/>
    <w:rsid w:val="000B655C"/>
    <w:rsid w:val="000C0DC3"/>
    <w:rsid w:val="00110502"/>
    <w:rsid w:val="00125CE6"/>
    <w:rsid w:val="00135063"/>
    <w:rsid w:val="0015356C"/>
    <w:rsid w:val="00195E7D"/>
    <w:rsid w:val="001A0466"/>
    <w:rsid w:val="001A65CE"/>
    <w:rsid w:val="001B00DB"/>
    <w:rsid w:val="001C7F60"/>
    <w:rsid w:val="002054D9"/>
    <w:rsid w:val="00222EA2"/>
    <w:rsid w:val="0023644B"/>
    <w:rsid w:val="002364A3"/>
    <w:rsid w:val="0024115A"/>
    <w:rsid w:val="00251B80"/>
    <w:rsid w:val="00271E79"/>
    <w:rsid w:val="002772B7"/>
    <w:rsid w:val="002B1309"/>
    <w:rsid w:val="002C69D1"/>
    <w:rsid w:val="0030768C"/>
    <w:rsid w:val="00310141"/>
    <w:rsid w:val="00353111"/>
    <w:rsid w:val="003714D8"/>
    <w:rsid w:val="0037733A"/>
    <w:rsid w:val="00382397"/>
    <w:rsid w:val="00390ED8"/>
    <w:rsid w:val="003C63B6"/>
    <w:rsid w:val="004103EE"/>
    <w:rsid w:val="004170E3"/>
    <w:rsid w:val="00422A12"/>
    <w:rsid w:val="004451D4"/>
    <w:rsid w:val="00447DFF"/>
    <w:rsid w:val="004934C4"/>
    <w:rsid w:val="004A2EE1"/>
    <w:rsid w:val="004C2078"/>
    <w:rsid w:val="004D547C"/>
    <w:rsid w:val="004E2796"/>
    <w:rsid w:val="004E4EB4"/>
    <w:rsid w:val="004F06B0"/>
    <w:rsid w:val="004F5464"/>
    <w:rsid w:val="005003D3"/>
    <w:rsid w:val="0051766E"/>
    <w:rsid w:val="00534238"/>
    <w:rsid w:val="00566C28"/>
    <w:rsid w:val="00580121"/>
    <w:rsid w:val="005A41BE"/>
    <w:rsid w:val="005D0E89"/>
    <w:rsid w:val="005E55B5"/>
    <w:rsid w:val="00622E2A"/>
    <w:rsid w:val="00627E3B"/>
    <w:rsid w:val="006414A8"/>
    <w:rsid w:val="00655415"/>
    <w:rsid w:val="007137DB"/>
    <w:rsid w:val="00734477"/>
    <w:rsid w:val="00742F27"/>
    <w:rsid w:val="00753441"/>
    <w:rsid w:val="007861E8"/>
    <w:rsid w:val="007E6F47"/>
    <w:rsid w:val="00820AC9"/>
    <w:rsid w:val="00831F94"/>
    <w:rsid w:val="00867DAD"/>
    <w:rsid w:val="008A1149"/>
    <w:rsid w:val="008C029D"/>
    <w:rsid w:val="008D5ADE"/>
    <w:rsid w:val="008E645F"/>
    <w:rsid w:val="00900877"/>
    <w:rsid w:val="00946468"/>
    <w:rsid w:val="00954910"/>
    <w:rsid w:val="00982DA3"/>
    <w:rsid w:val="00986792"/>
    <w:rsid w:val="009E24F1"/>
    <w:rsid w:val="009F19EA"/>
    <w:rsid w:val="00A2052C"/>
    <w:rsid w:val="00A20A4B"/>
    <w:rsid w:val="00A359AB"/>
    <w:rsid w:val="00A37298"/>
    <w:rsid w:val="00A37AAB"/>
    <w:rsid w:val="00A74E10"/>
    <w:rsid w:val="00AA3EB5"/>
    <w:rsid w:val="00AB0F2C"/>
    <w:rsid w:val="00AE3B94"/>
    <w:rsid w:val="00B50F69"/>
    <w:rsid w:val="00B8610C"/>
    <w:rsid w:val="00B95556"/>
    <w:rsid w:val="00BA7D16"/>
    <w:rsid w:val="00BD7B4C"/>
    <w:rsid w:val="00BE63FA"/>
    <w:rsid w:val="00BE7DF7"/>
    <w:rsid w:val="00C04EE3"/>
    <w:rsid w:val="00C172C3"/>
    <w:rsid w:val="00C4323F"/>
    <w:rsid w:val="00C529CE"/>
    <w:rsid w:val="00C55A6D"/>
    <w:rsid w:val="00C87384"/>
    <w:rsid w:val="00C974E3"/>
    <w:rsid w:val="00CB43DD"/>
    <w:rsid w:val="00CE483B"/>
    <w:rsid w:val="00CF67C9"/>
    <w:rsid w:val="00D11435"/>
    <w:rsid w:val="00D32765"/>
    <w:rsid w:val="00D4722C"/>
    <w:rsid w:val="00D5318E"/>
    <w:rsid w:val="00D739E6"/>
    <w:rsid w:val="00D90D31"/>
    <w:rsid w:val="00DA2727"/>
    <w:rsid w:val="00DB1D5F"/>
    <w:rsid w:val="00DB3322"/>
    <w:rsid w:val="00E06469"/>
    <w:rsid w:val="00E1539B"/>
    <w:rsid w:val="00E41BF0"/>
    <w:rsid w:val="00E7081E"/>
    <w:rsid w:val="00E8777B"/>
    <w:rsid w:val="00EC0821"/>
    <w:rsid w:val="00ED14FE"/>
    <w:rsid w:val="00EE579E"/>
    <w:rsid w:val="00EE7AAD"/>
    <w:rsid w:val="00EF4958"/>
    <w:rsid w:val="00F07189"/>
    <w:rsid w:val="00F17B9B"/>
    <w:rsid w:val="00F44810"/>
    <w:rsid w:val="00FA28FD"/>
    <w:rsid w:val="00FF4529"/>
    <w:rsid w:val="00FF4D61"/>
    <w:rsid w:val="63B4B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4B7C8"/>
  <w15:docId w15:val="{B27C3209-1D8C-48D8-9870-DDDC097A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477"/>
    <w:pPr>
      <w:spacing w:after="120" w:line="240" w:lineRule="auto"/>
    </w:pPr>
    <w:rPr>
      <w:rFonts w:ascii="Calibri" w:hAnsi="Calibri"/>
      <w:color w:val="5A5A59"/>
    </w:rPr>
  </w:style>
  <w:style w:type="paragraph" w:styleId="Heading1">
    <w:name w:val="heading 1"/>
    <w:basedOn w:val="Normal"/>
    <w:next w:val="Normal"/>
    <w:link w:val="Heading1Char"/>
    <w:uiPriority w:val="1"/>
    <w:qFormat/>
    <w:rsid w:val="00831F94"/>
    <w:pPr>
      <w:keepNext/>
      <w:keepLines/>
      <w:numPr>
        <w:numId w:val="6"/>
      </w:numPr>
      <w:spacing w:after="0"/>
      <w:ind w:left="0"/>
      <w:outlineLvl w:val="0"/>
    </w:pPr>
    <w:rPr>
      <w:rFonts w:eastAsiaTheme="majorEastAsia" w:cstheme="majorBidi"/>
      <w:b/>
      <w:bCs/>
      <w:color w:val="002249"/>
      <w:sz w:val="36"/>
      <w:szCs w:val="28"/>
    </w:rPr>
  </w:style>
  <w:style w:type="paragraph" w:styleId="Heading2">
    <w:name w:val="heading 2"/>
    <w:basedOn w:val="Normal"/>
    <w:next w:val="Normal"/>
    <w:link w:val="Heading2Char"/>
    <w:uiPriority w:val="1"/>
    <w:qFormat/>
    <w:rsid w:val="00831F94"/>
    <w:pPr>
      <w:keepNext/>
      <w:keepLines/>
      <w:numPr>
        <w:ilvl w:val="1"/>
        <w:numId w:val="6"/>
      </w:numPr>
      <w:spacing w:before="200" w:after="0"/>
      <w:outlineLvl w:val="1"/>
    </w:pPr>
    <w:rPr>
      <w:rFonts w:eastAsiaTheme="majorEastAsia" w:cstheme="majorBidi"/>
      <w:b/>
      <w:bCs/>
      <w:color w:val="002249"/>
      <w:sz w:val="28"/>
      <w:szCs w:val="26"/>
    </w:rPr>
  </w:style>
  <w:style w:type="paragraph" w:styleId="Heading3">
    <w:name w:val="heading 3"/>
    <w:basedOn w:val="Normal"/>
    <w:next w:val="Normal"/>
    <w:link w:val="Heading3Char"/>
    <w:uiPriority w:val="1"/>
    <w:qFormat/>
    <w:rsid w:val="00831F94"/>
    <w:pPr>
      <w:keepNext/>
      <w:keepLines/>
      <w:numPr>
        <w:ilvl w:val="2"/>
        <w:numId w:val="6"/>
      </w:numPr>
      <w:spacing w:before="240" w:after="0"/>
      <w:outlineLvl w:val="2"/>
    </w:pPr>
    <w:rPr>
      <w:rFonts w:eastAsiaTheme="majorEastAsia" w:cstheme="majorBidi"/>
      <w:b/>
      <w:bCs/>
    </w:rPr>
  </w:style>
  <w:style w:type="paragraph" w:styleId="Heading4">
    <w:name w:val="heading 4"/>
    <w:basedOn w:val="Normal"/>
    <w:next w:val="Normal"/>
    <w:link w:val="Heading4Char"/>
    <w:uiPriority w:val="1"/>
    <w:semiHidden/>
    <w:unhideWhenUsed/>
    <w:qFormat/>
    <w:rsid w:val="00831F94"/>
    <w:pPr>
      <w:keepNext/>
      <w:keepLines/>
      <w:numPr>
        <w:ilvl w:val="3"/>
        <w:numId w:val="6"/>
      </w:numPr>
      <w:spacing w:before="240" w:after="0"/>
      <w:outlineLvl w:val="3"/>
    </w:pPr>
    <w:rPr>
      <w:rFonts w:asciiTheme="majorHAnsi" w:eastAsiaTheme="majorEastAsia" w:hAnsiTheme="majorHAnsi" w:cstheme="majorBidi"/>
      <w:bCs/>
      <w:iCs/>
      <w:color w:val="EA5B1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2B7"/>
    <w:pPr>
      <w:tabs>
        <w:tab w:val="left" w:pos="567"/>
      </w:tabs>
      <w:spacing w:after="0"/>
    </w:pPr>
  </w:style>
  <w:style w:type="character" w:customStyle="1" w:styleId="HeaderChar">
    <w:name w:val="Header Char"/>
    <w:basedOn w:val="DefaultParagraphFont"/>
    <w:link w:val="Header"/>
    <w:uiPriority w:val="99"/>
    <w:rsid w:val="002772B7"/>
    <w:rPr>
      <w:rFonts w:ascii="Calibri" w:hAnsi="Calibri"/>
      <w:color w:val="5A5A59"/>
    </w:rPr>
  </w:style>
  <w:style w:type="paragraph" w:styleId="Footer">
    <w:name w:val="footer"/>
    <w:basedOn w:val="Normal"/>
    <w:link w:val="FooterChar"/>
    <w:uiPriority w:val="99"/>
    <w:unhideWhenUsed/>
    <w:rsid w:val="00EF4958"/>
    <w:pPr>
      <w:tabs>
        <w:tab w:val="right" w:pos="10319"/>
      </w:tabs>
      <w:spacing w:after="0"/>
      <w:ind w:right="-397"/>
    </w:pPr>
  </w:style>
  <w:style w:type="character" w:customStyle="1" w:styleId="FooterChar">
    <w:name w:val="Footer Char"/>
    <w:basedOn w:val="DefaultParagraphFont"/>
    <w:link w:val="Footer"/>
    <w:uiPriority w:val="99"/>
    <w:rsid w:val="00EF4958"/>
    <w:rPr>
      <w:rFonts w:ascii="Calibri" w:hAnsi="Calibri"/>
      <w:color w:val="5A5A59"/>
    </w:rPr>
  </w:style>
  <w:style w:type="paragraph" w:styleId="Title">
    <w:name w:val="Title"/>
    <w:basedOn w:val="Normal"/>
    <w:next w:val="Normal"/>
    <w:link w:val="TitleChar"/>
    <w:uiPriority w:val="10"/>
    <w:qFormat/>
    <w:rsid w:val="00566C28"/>
    <w:pPr>
      <w:spacing w:after="300"/>
      <w:contextualSpacing/>
    </w:pPr>
    <w:rPr>
      <w:rFonts w:asciiTheme="majorHAnsi" w:eastAsiaTheme="majorEastAsia" w:hAnsiTheme="majorHAnsi" w:cstheme="majorBidi"/>
      <w:color w:val="FFFFFF" w:themeColor="background1"/>
      <w:spacing w:val="5"/>
      <w:kern w:val="28"/>
      <w:sz w:val="96"/>
      <w:szCs w:val="52"/>
    </w:rPr>
  </w:style>
  <w:style w:type="character" w:customStyle="1" w:styleId="TitleChar">
    <w:name w:val="Title Char"/>
    <w:basedOn w:val="DefaultParagraphFont"/>
    <w:link w:val="Title"/>
    <w:uiPriority w:val="10"/>
    <w:rsid w:val="00566C28"/>
    <w:rPr>
      <w:rFonts w:asciiTheme="majorHAnsi" w:eastAsiaTheme="majorEastAsia" w:hAnsiTheme="majorHAnsi" w:cstheme="majorBidi"/>
      <w:color w:val="FFFFFF" w:themeColor="background1"/>
      <w:spacing w:val="5"/>
      <w:kern w:val="28"/>
      <w:sz w:val="96"/>
      <w:szCs w:val="52"/>
    </w:rPr>
  </w:style>
  <w:style w:type="table" w:styleId="TableGrid">
    <w:name w:val="Table Grid"/>
    <w:basedOn w:val="TableNormal"/>
    <w:uiPriority w:val="59"/>
    <w:rsid w:val="00566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rsid w:val="00566C28"/>
    <w:rPr>
      <w:color w:val="FFFFFF" w:themeColor="background1"/>
      <w:sz w:val="24"/>
    </w:rPr>
  </w:style>
  <w:style w:type="character" w:customStyle="1" w:styleId="DateChar">
    <w:name w:val="Date Char"/>
    <w:basedOn w:val="DefaultParagraphFont"/>
    <w:link w:val="Date"/>
    <w:uiPriority w:val="99"/>
    <w:rsid w:val="002B1309"/>
    <w:rPr>
      <w:rFonts w:ascii="Calibri" w:hAnsi="Calibri"/>
      <w:color w:val="FFFFFF" w:themeColor="background1"/>
      <w:sz w:val="24"/>
    </w:rPr>
  </w:style>
  <w:style w:type="character" w:customStyle="1" w:styleId="Heading1Char">
    <w:name w:val="Heading 1 Char"/>
    <w:basedOn w:val="DefaultParagraphFont"/>
    <w:link w:val="Heading1"/>
    <w:uiPriority w:val="1"/>
    <w:rsid w:val="00831F94"/>
    <w:rPr>
      <w:rFonts w:ascii="Calibri" w:eastAsiaTheme="majorEastAsia" w:hAnsi="Calibri" w:cstheme="majorBidi"/>
      <w:b/>
      <w:bCs/>
      <w:color w:val="002249"/>
      <w:sz w:val="36"/>
      <w:szCs w:val="28"/>
    </w:rPr>
  </w:style>
  <w:style w:type="character" w:styleId="Hyperlink">
    <w:name w:val="Hyperlink"/>
    <w:basedOn w:val="DefaultParagraphFont"/>
    <w:uiPriority w:val="99"/>
    <w:unhideWhenUsed/>
    <w:rsid w:val="00946468"/>
    <w:rPr>
      <w:color w:val="EA5B16" w:themeColor="hyperlink"/>
      <w:u w:val="single"/>
    </w:rPr>
  </w:style>
  <w:style w:type="paragraph" w:styleId="BalloonText">
    <w:name w:val="Balloon Text"/>
    <w:basedOn w:val="Normal"/>
    <w:link w:val="BalloonTextChar"/>
    <w:uiPriority w:val="99"/>
    <w:semiHidden/>
    <w:unhideWhenUsed/>
    <w:rsid w:val="000B65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55C"/>
    <w:rPr>
      <w:rFonts w:ascii="Tahoma" w:hAnsi="Tahoma" w:cs="Tahoma"/>
      <w:sz w:val="16"/>
      <w:szCs w:val="16"/>
    </w:rPr>
  </w:style>
  <w:style w:type="paragraph" w:customStyle="1" w:styleId="NormalNoSpace">
    <w:name w:val="Normal NoSpace"/>
    <w:basedOn w:val="Normal"/>
    <w:uiPriority w:val="9"/>
    <w:unhideWhenUsed/>
    <w:rsid w:val="000B655C"/>
    <w:pPr>
      <w:spacing w:after="0"/>
    </w:pPr>
  </w:style>
  <w:style w:type="character" w:customStyle="1" w:styleId="Heading2Char">
    <w:name w:val="Heading 2 Char"/>
    <w:basedOn w:val="DefaultParagraphFont"/>
    <w:link w:val="Heading2"/>
    <w:uiPriority w:val="1"/>
    <w:rsid w:val="00831F94"/>
    <w:rPr>
      <w:rFonts w:ascii="Calibri" w:eastAsiaTheme="majorEastAsia" w:hAnsi="Calibri" w:cstheme="majorBidi"/>
      <w:b/>
      <w:bCs/>
      <w:color w:val="002249"/>
      <w:sz w:val="28"/>
      <w:szCs w:val="26"/>
    </w:rPr>
  </w:style>
  <w:style w:type="paragraph" w:customStyle="1" w:styleId="Bullet1">
    <w:name w:val="Bullet1"/>
    <w:basedOn w:val="Normal"/>
    <w:uiPriority w:val="2"/>
    <w:qFormat/>
    <w:rsid w:val="002772B7"/>
    <w:pPr>
      <w:numPr>
        <w:numId w:val="2"/>
      </w:numPr>
      <w:contextualSpacing/>
    </w:pPr>
  </w:style>
  <w:style w:type="paragraph" w:customStyle="1" w:styleId="Bullet2">
    <w:name w:val="Bullet2"/>
    <w:basedOn w:val="Bullet1"/>
    <w:uiPriority w:val="2"/>
    <w:qFormat/>
    <w:rsid w:val="00BE7DF7"/>
    <w:pPr>
      <w:numPr>
        <w:ilvl w:val="1"/>
      </w:numPr>
    </w:pPr>
  </w:style>
  <w:style w:type="paragraph" w:customStyle="1" w:styleId="NumbList1">
    <w:name w:val="NumbList1"/>
    <w:basedOn w:val="Bullet1"/>
    <w:uiPriority w:val="2"/>
    <w:qFormat/>
    <w:rsid w:val="00627E3B"/>
    <w:pPr>
      <w:numPr>
        <w:numId w:val="3"/>
      </w:numPr>
    </w:pPr>
  </w:style>
  <w:style w:type="paragraph" w:customStyle="1" w:styleId="NumbList2">
    <w:name w:val="NumbList2"/>
    <w:basedOn w:val="Bullet2"/>
    <w:uiPriority w:val="2"/>
    <w:qFormat/>
    <w:rsid w:val="00627E3B"/>
    <w:pPr>
      <w:numPr>
        <w:numId w:val="3"/>
      </w:numPr>
    </w:pPr>
  </w:style>
  <w:style w:type="numbering" w:customStyle="1" w:styleId="NumbListBullet">
    <w:name w:val="NumbListBullet"/>
    <w:uiPriority w:val="99"/>
    <w:rsid w:val="002772B7"/>
    <w:pPr>
      <w:numPr>
        <w:numId w:val="1"/>
      </w:numPr>
    </w:pPr>
  </w:style>
  <w:style w:type="paragraph" w:customStyle="1" w:styleId="Contents">
    <w:name w:val="Contents"/>
    <w:basedOn w:val="Normal"/>
    <w:uiPriority w:val="11"/>
    <w:qFormat/>
    <w:rsid w:val="00867DAD"/>
    <w:pPr>
      <w:spacing w:after="2000"/>
    </w:pPr>
    <w:rPr>
      <w:color w:val="FFFFFF" w:themeColor="background1"/>
      <w:sz w:val="64"/>
    </w:rPr>
  </w:style>
  <w:style w:type="numbering" w:customStyle="1" w:styleId="NumbListNumb">
    <w:name w:val="NumbListNumb"/>
    <w:uiPriority w:val="99"/>
    <w:rsid w:val="00627E3B"/>
    <w:pPr>
      <w:numPr>
        <w:numId w:val="3"/>
      </w:numPr>
    </w:pPr>
  </w:style>
  <w:style w:type="character" w:customStyle="1" w:styleId="Heading3Char">
    <w:name w:val="Heading 3 Char"/>
    <w:basedOn w:val="DefaultParagraphFont"/>
    <w:link w:val="Heading3"/>
    <w:uiPriority w:val="1"/>
    <w:rsid w:val="00831F94"/>
    <w:rPr>
      <w:rFonts w:ascii="Calibri" w:eastAsiaTheme="majorEastAsia" w:hAnsi="Calibri" w:cstheme="majorBidi"/>
      <w:b/>
      <w:bCs/>
      <w:color w:val="5A5A59"/>
    </w:rPr>
  </w:style>
  <w:style w:type="character" w:customStyle="1" w:styleId="Bluebold">
    <w:name w:val="Blue bold"/>
    <w:basedOn w:val="DefaultParagraphFont"/>
    <w:uiPriority w:val="2"/>
    <w:qFormat/>
    <w:rsid w:val="00867DAD"/>
    <w:rPr>
      <w:b/>
      <w:color w:val="002249" w:themeColor="background2"/>
    </w:rPr>
  </w:style>
  <w:style w:type="character" w:customStyle="1" w:styleId="Heading4Char">
    <w:name w:val="Heading 4 Char"/>
    <w:basedOn w:val="DefaultParagraphFont"/>
    <w:link w:val="Heading4"/>
    <w:uiPriority w:val="1"/>
    <w:semiHidden/>
    <w:rsid w:val="00831F94"/>
    <w:rPr>
      <w:rFonts w:asciiTheme="majorHAnsi" w:eastAsiaTheme="majorEastAsia" w:hAnsiTheme="majorHAnsi" w:cstheme="majorBidi"/>
      <w:bCs/>
      <w:iCs/>
      <w:color w:val="EA5B16" w:themeColor="accent1"/>
    </w:rPr>
  </w:style>
  <w:style w:type="numbering" w:customStyle="1" w:styleId="NumbListHeadings">
    <w:name w:val="NumbList Headings"/>
    <w:uiPriority w:val="99"/>
    <w:rsid w:val="00831F94"/>
    <w:pPr>
      <w:numPr>
        <w:numId w:val="4"/>
      </w:numPr>
    </w:pPr>
  </w:style>
  <w:style w:type="paragraph" w:styleId="TOC1">
    <w:name w:val="toc 1"/>
    <w:basedOn w:val="Normal"/>
    <w:next w:val="Normal"/>
    <w:autoRedefine/>
    <w:uiPriority w:val="39"/>
    <w:unhideWhenUsed/>
    <w:rsid w:val="007137DB"/>
    <w:pPr>
      <w:tabs>
        <w:tab w:val="left" w:leader="dot" w:pos="567"/>
        <w:tab w:val="right" w:leader="dot" w:pos="9639"/>
      </w:tabs>
      <w:ind w:left="567" w:hanging="567"/>
    </w:pPr>
    <w:rPr>
      <w:b/>
    </w:rPr>
  </w:style>
  <w:style w:type="paragraph" w:styleId="TOC2">
    <w:name w:val="toc 2"/>
    <w:basedOn w:val="Normal"/>
    <w:next w:val="Normal"/>
    <w:autoRedefine/>
    <w:uiPriority w:val="39"/>
    <w:unhideWhenUsed/>
    <w:rsid w:val="00655415"/>
    <w:pPr>
      <w:tabs>
        <w:tab w:val="right" w:leader="dot" w:pos="9628"/>
      </w:tabs>
      <w:ind w:left="567" w:hanging="567"/>
      <w:contextualSpacing/>
    </w:pPr>
  </w:style>
  <w:style w:type="paragraph" w:customStyle="1" w:styleId="Appendix">
    <w:name w:val="Appendix"/>
    <w:basedOn w:val="Heading1"/>
    <w:uiPriority w:val="3"/>
    <w:qFormat/>
    <w:rsid w:val="00B50F69"/>
    <w:pPr>
      <w:pageBreakBefore/>
      <w:numPr>
        <w:numId w:val="5"/>
      </w:numPr>
    </w:pPr>
  </w:style>
  <w:style w:type="numbering" w:customStyle="1" w:styleId="NumbListApp">
    <w:name w:val="NumbList App"/>
    <w:uiPriority w:val="99"/>
    <w:rsid w:val="00EE579E"/>
    <w:pPr>
      <w:numPr>
        <w:numId w:val="5"/>
      </w:numPr>
    </w:pPr>
  </w:style>
  <w:style w:type="table" w:styleId="MediumShading1-Accent5">
    <w:name w:val="Medium Shading 1 Accent 5"/>
    <w:basedOn w:val="TableNormal"/>
    <w:uiPriority w:val="63"/>
    <w:rsid w:val="00734477"/>
    <w:pPr>
      <w:spacing w:after="0" w:line="240" w:lineRule="auto"/>
    </w:pPr>
    <w:tblPr>
      <w:tblStyleRowBandSize w:val="1"/>
      <w:tblStyleColBandSize w:val="1"/>
      <w:tblBorders>
        <w:top w:val="single" w:sz="8"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single" w:sz="8" w:space="0" w:color="F9B074" w:themeColor="accent5" w:themeTint="BF"/>
      </w:tblBorders>
    </w:tblPr>
    <w:tblStylePr w:type="firstRow">
      <w:pPr>
        <w:spacing w:before="0" w:after="0" w:line="240" w:lineRule="auto"/>
      </w:pPr>
      <w:rPr>
        <w:b/>
        <w:bCs/>
        <w:color w:val="FFFFFF" w:themeColor="background1"/>
      </w:rPr>
      <w:tblPr/>
      <w:tcPr>
        <w:tcBorders>
          <w:top w:val="single" w:sz="8"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nil"/>
          <w:insideV w:val="nil"/>
        </w:tcBorders>
        <w:shd w:val="clear" w:color="auto" w:fill="F79646" w:themeFill="accent5"/>
      </w:tcPr>
    </w:tblStylePr>
    <w:tblStylePr w:type="lastRow">
      <w:pPr>
        <w:spacing w:before="0" w:after="0" w:line="240" w:lineRule="auto"/>
      </w:pPr>
      <w:rPr>
        <w:b/>
        <w:bCs/>
      </w:rPr>
      <w:tblPr/>
      <w:tcPr>
        <w:tcBorders>
          <w:top w:val="double" w:sz="6"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5" w:themeFillTint="3F"/>
      </w:tcPr>
    </w:tblStylePr>
    <w:tblStylePr w:type="band1Horz">
      <w:tblPr/>
      <w:tcPr>
        <w:tcBorders>
          <w:insideH w:val="nil"/>
          <w:insideV w:val="nil"/>
        </w:tcBorders>
        <w:shd w:val="clear" w:color="auto" w:fill="FDE4D0"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34477"/>
    <w:pPr>
      <w:spacing w:after="0" w:line="240" w:lineRule="auto"/>
    </w:pPr>
    <w:tblPr>
      <w:tblStyleRowBandSize w:val="1"/>
      <w:tblStyleColBandSize w:val="1"/>
      <w:tblBorders>
        <w:top w:val="single" w:sz="8" w:space="0" w:color="F79646" w:themeColor="accent5"/>
        <w:left w:val="single" w:sz="8" w:space="0" w:color="F79646" w:themeColor="accent5"/>
        <w:bottom w:val="single" w:sz="8" w:space="0" w:color="F79646" w:themeColor="accent5"/>
        <w:right w:val="single" w:sz="8" w:space="0" w:color="F79646" w:themeColor="accent5"/>
        <w:insideH w:val="single" w:sz="8" w:space="0" w:color="F79646" w:themeColor="accent5"/>
        <w:insideV w:val="single" w:sz="8" w:space="0" w:color="F7964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5"/>
          <w:left w:val="single" w:sz="8" w:space="0" w:color="F79646" w:themeColor="accent5"/>
          <w:bottom w:val="single" w:sz="18" w:space="0" w:color="F79646" w:themeColor="accent5"/>
          <w:right w:val="single" w:sz="8" w:space="0" w:color="F79646" w:themeColor="accent5"/>
          <w:insideH w:val="nil"/>
          <w:insideV w:val="single" w:sz="8" w:space="0" w:color="F7964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5"/>
          <w:left w:val="single" w:sz="8" w:space="0" w:color="F79646" w:themeColor="accent5"/>
          <w:bottom w:val="single" w:sz="8" w:space="0" w:color="F79646" w:themeColor="accent5"/>
          <w:right w:val="single" w:sz="8" w:space="0" w:color="F79646" w:themeColor="accent5"/>
          <w:insideH w:val="nil"/>
          <w:insideV w:val="single" w:sz="8" w:space="0" w:color="F7964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tcPr>
    </w:tblStylePr>
    <w:tblStylePr w:type="band1Vert">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shd w:val="clear" w:color="auto" w:fill="FDE4D0" w:themeFill="accent5" w:themeFillTint="3F"/>
      </w:tcPr>
    </w:tblStylePr>
    <w:tblStylePr w:type="band1Horz">
      <w:tblPr/>
      <w:tcPr>
        <w:tcBorders>
          <w:top w:val="single" w:sz="8" w:space="0" w:color="F79646" w:themeColor="accent5"/>
          <w:left w:val="single" w:sz="8" w:space="0" w:color="F79646" w:themeColor="accent5"/>
          <w:bottom w:val="single" w:sz="8" w:space="0" w:color="F79646" w:themeColor="accent5"/>
          <w:right w:val="single" w:sz="8" w:space="0" w:color="F79646" w:themeColor="accent5"/>
          <w:insideV w:val="single" w:sz="8" w:space="0" w:color="F79646" w:themeColor="accent5"/>
        </w:tcBorders>
        <w:shd w:val="clear" w:color="auto" w:fill="FDE4D0" w:themeFill="accent5" w:themeFillTint="3F"/>
      </w:tcPr>
    </w:tblStylePr>
    <w:tblStylePr w:type="band2Horz">
      <w:tblPr/>
      <w:tcPr>
        <w:tcBorders>
          <w:top w:val="single" w:sz="8" w:space="0" w:color="F79646" w:themeColor="accent5"/>
          <w:left w:val="single" w:sz="8" w:space="0" w:color="F79646" w:themeColor="accent5"/>
          <w:bottom w:val="single" w:sz="8" w:space="0" w:color="F79646" w:themeColor="accent5"/>
          <w:right w:val="single" w:sz="8" w:space="0" w:color="F79646" w:themeColor="accent5"/>
          <w:insideV w:val="single" w:sz="8" w:space="0" w:color="F79646" w:themeColor="accent5"/>
        </w:tcBorders>
      </w:tcPr>
    </w:tblStylePr>
  </w:style>
  <w:style w:type="table" w:customStyle="1" w:styleId="LightGrid-Accent11">
    <w:name w:val="Light Grid - Accent 11"/>
    <w:basedOn w:val="TableNormal"/>
    <w:uiPriority w:val="62"/>
    <w:rsid w:val="00831F94"/>
    <w:pPr>
      <w:spacing w:after="0" w:line="240" w:lineRule="auto"/>
    </w:pPr>
    <w:tblPr>
      <w:tblStyleRowBandSize w:val="1"/>
      <w:tblStyleColBandSize w:val="1"/>
      <w:tblBorders>
        <w:top w:val="single" w:sz="8" w:space="0" w:color="EA5B16" w:themeColor="accent1"/>
        <w:left w:val="single" w:sz="8" w:space="0" w:color="EA5B16" w:themeColor="accent1"/>
        <w:bottom w:val="single" w:sz="8" w:space="0" w:color="EA5B16" w:themeColor="accent1"/>
        <w:right w:val="single" w:sz="8" w:space="0" w:color="EA5B16" w:themeColor="accent1"/>
        <w:insideH w:val="single" w:sz="8" w:space="0" w:color="EA5B16" w:themeColor="accent1"/>
        <w:insideV w:val="single" w:sz="8" w:space="0" w:color="EA5B1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5B16" w:themeColor="accent1"/>
          <w:left w:val="single" w:sz="8" w:space="0" w:color="EA5B16" w:themeColor="accent1"/>
          <w:bottom w:val="single" w:sz="18" w:space="0" w:color="EA5B16" w:themeColor="accent1"/>
          <w:right w:val="single" w:sz="8" w:space="0" w:color="EA5B16" w:themeColor="accent1"/>
          <w:insideH w:val="nil"/>
          <w:insideV w:val="single" w:sz="8" w:space="0" w:color="EA5B1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5B16" w:themeColor="accent1"/>
          <w:left w:val="single" w:sz="8" w:space="0" w:color="EA5B16" w:themeColor="accent1"/>
          <w:bottom w:val="single" w:sz="8" w:space="0" w:color="EA5B16" w:themeColor="accent1"/>
          <w:right w:val="single" w:sz="8" w:space="0" w:color="EA5B16" w:themeColor="accent1"/>
          <w:insideH w:val="nil"/>
          <w:insideV w:val="single" w:sz="8" w:space="0" w:color="EA5B1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5B16" w:themeColor="accent1"/>
          <w:left w:val="single" w:sz="8" w:space="0" w:color="EA5B16" w:themeColor="accent1"/>
          <w:bottom w:val="single" w:sz="8" w:space="0" w:color="EA5B16" w:themeColor="accent1"/>
          <w:right w:val="single" w:sz="8" w:space="0" w:color="EA5B16" w:themeColor="accent1"/>
        </w:tcBorders>
      </w:tcPr>
    </w:tblStylePr>
    <w:tblStylePr w:type="band1Vert">
      <w:tblPr/>
      <w:tcPr>
        <w:tcBorders>
          <w:top w:val="single" w:sz="8" w:space="0" w:color="EA5B16" w:themeColor="accent1"/>
          <w:left w:val="single" w:sz="8" w:space="0" w:color="EA5B16" w:themeColor="accent1"/>
          <w:bottom w:val="single" w:sz="8" w:space="0" w:color="EA5B16" w:themeColor="accent1"/>
          <w:right w:val="single" w:sz="8" w:space="0" w:color="EA5B16" w:themeColor="accent1"/>
        </w:tcBorders>
        <w:shd w:val="clear" w:color="auto" w:fill="F9D6C5" w:themeFill="accent1" w:themeFillTint="3F"/>
      </w:tcPr>
    </w:tblStylePr>
    <w:tblStylePr w:type="band1Horz">
      <w:tblPr/>
      <w:tcPr>
        <w:tcBorders>
          <w:top w:val="single" w:sz="8" w:space="0" w:color="EA5B16" w:themeColor="accent1"/>
          <w:left w:val="single" w:sz="8" w:space="0" w:color="EA5B16" w:themeColor="accent1"/>
          <w:bottom w:val="single" w:sz="8" w:space="0" w:color="EA5B16" w:themeColor="accent1"/>
          <w:right w:val="single" w:sz="8" w:space="0" w:color="EA5B16" w:themeColor="accent1"/>
          <w:insideV w:val="single" w:sz="8" w:space="0" w:color="EA5B16" w:themeColor="accent1"/>
        </w:tcBorders>
        <w:shd w:val="clear" w:color="auto" w:fill="F9D6C5" w:themeFill="accent1" w:themeFillTint="3F"/>
      </w:tcPr>
    </w:tblStylePr>
    <w:tblStylePr w:type="band2Horz">
      <w:tblPr/>
      <w:tcPr>
        <w:tcBorders>
          <w:top w:val="single" w:sz="8" w:space="0" w:color="EA5B16" w:themeColor="accent1"/>
          <w:left w:val="single" w:sz="8" w:space="0" w:color="EA5B16" w:themeColor="accent1"/>
          <w:bottom w:val="single" w:sz="8" w:space="0" w:color="EA5B16" w:themeColor="accent1"/>
          <w:right w:val="single" w:sz="8" w:space="0" w:color="EA5B16" w:themeColor="accent1"/>
          <w:insideV w:val="single" w:sz="8" w:space="0" w:color="EA5B16" w:themeColor="accent1"/>
        </w:tcBorders>
      </w:tcPr>
    </w:tblStylePr>
  </w:style>
  <w:style w:type="paragraph" w:customStyle="1" w:styleId="SGNHeading1">
    <w:name w:val="SGN Heading 1"/>
    <w:basedOn w:val="Normal"/>
    <w:link w:val="SGNHeading1Char"/>
    <w:rsid w:val="00F17B9B"/>
    <w:pPr>
      <w:numPr>
        <w:numId w:val="7"/>
      </w:numPr>
      <w:spacing w:after="240"/>
      <w:jc w:val="center"/>
      <w:outlineLvl w:val="0"/>
    </w:pPr>
    <w:rPr>
      <w:rFonts w:ascii="Arial" w:eastAsia="Times New Roman" w:hAnsi="Arial" w:cs="Arial"/>
      <w:b/>
      <w:bCs/>
      <w:caps/>
      <w:color w:val="auto"/>
      <w:kern w:val="32"/>
      <w:sz w:val="28"/>
      <w:szCs w:val="24"/>
    </w:rPr>
  </w:style>
  <w:style w:type="paragraph" w:customStyle="1" w:styleId="Style1">
    <w:name w:val="Style1"/>
    <w:basedOn w:val="SGNHeading1"/>
    <w:rsid w:val="00F17B9B"/>
    <w:pPr>
      <w:numPr>
        <w:ilvl w:val="1"/>
      </w:numPr>
      <w:spacing w:after="0" w:line="360" w:lineRule="auto"/>
      <w:ind w:left="0" w:firstLine="0"/>
    </w:pPr>
    <w:rPr>
      <w:sz w:val="24"/>
    </w:rPr>
  </w:style>
  <w:style w:type="paragraph" w:customStyle="1" w:styleId="SGNHEading3">
    <w:name w:val="SGN HEading 3"/>
    <w:basedOn w:val="Normal"/>
    <w:rsid w:val="00F17B9B"/>
    <w:pPr>
      <w:numPr>
        <w:ilvl w:val="2"/>
        <w:numId w:val="7"/>
      </w:numPr>
      <w:spacing w:after="0" w:line="360" w:lineRule="auto"/>
      <w:outlineLvl w:val="0"/>
    </w:pPr>
    <w:rPr>
      <w:rFonts w:ascii="Arial" w:eastAsia="Times New Roman" w:hAnsi="Arial" w:cs="Arial"/>
      <w:b/>
      <w:bCs/>
      <w:color w:val="auto"/>
      <w:kern w:val="32"/>
      <w:sz w:val="24"/>
      <w:szCs w:val="24"/>
    </w:rPr>
  </w:style>
  <w:style w:type="paragraph" w:customStyle="1" w:styleId="Hist">
    <w:name w:val="Hist"/>
    <w:basedOn w:val="Normal"/>
    <w:rsid w:val="00F17B9B"/>
    <w:pPr>
      <w:tabs>
        <w:tab w:val="left" w:pos="720"/>
      </w:tabs>
      <w:spacing w:after="0"/>
      <w:ind w:left="720"/>
    </w:pPr>
    <w:rPr>
      <w:rFonts w:ascii="Times New Roman" w:eastAsia="Times New Roman" w:hAnsi="Times New Roman" w:cs="Times New Roman"/>
      <w:color w:val="auto"/>
      <w:szCs w:val="20"/>
    </w:rPr>
  </w:style>
  <w:style w:type="paragraph" w:customStyle="1" w:styleId="histtop">
    <w:name w:val="hist top"/>
    <w:basedOn w:val="Normal"/>
    <w:rsid w:val="00F17B9B"/>
    <w:pPr>
      <w:tabs>
        <w:tab w:val="left" w:pos="720"/>
      </w:tabs>
      <w:spacing w:before="284" w:after="0"/>
      <w:ind w:left="720"/>
    </w:pPr>
    <w:rPr>
      <w:rFonts w:ascii="Times New Roman" w:eastAsia="Times New Roman" w:hAnsi="Times New Roman" w:cs="Times New Roman"/>
      <w:color w:val="auto"/>
      <w:szCs w:val="20"/>
    </w:rPr>
  </w:style>
  <w:style w:type="paragraph" w:customStyle="1" w:styleId="Text0">
    <w:name w:val="Text 0"/>
    <w:basedOn w:val="Normal"/>
    <w:rsid w:val="00F17B9B"/>
    <w:pPr>
      <w:spacing w:after="220"/>
    </w:pPr>
    <w:rPr>
      <w:rFonts w:ascii="Times New Roman" w:eastAsia="Times New Roman" w:hAnsi="Times New Roman" w:cs="Times New Roman"/>
      <w:color w:val="auto"/>
      <w:szCs w:val="24"/>
    </w:rPr>
  </w:style>
  <w:style w:type="paragraph" w:styleId="BodyText">
    <w:name w:val="Body Text"/>
    <w:basedOn w:val="Normal"/>
    <w:link w:val="BodyTextChar"/>
    <w:rsid w:val="00F17B9B"/>
    <w:pPr>
      <w:spacing w:after="0"/>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F17B9B"/>
    <w:rPr>
      <w:rFonts w:ascii="Times New Roman" w:eastAsia="Times New Roman" w:hAnsi="Times New Roman" w:cs="Times New Roman"/>
      <w:sz w:val="24"/>
      <w:szCs w:val="20"/>
      <w:lang w:eastAsia="en-GB"/>
    </w:rPr>
  </w:style>
  <w:style w:type="paragraph" w:customStyle="1" w:styleId="AppendixHeading">
    <w:name w:val="Appendix Heading"/>
    <w:basedOn w:val="Normal"/>
    <w:link w:val="AppendixHeadingChar"/>
    <w:rsid w:val="00F17B9B"/>
    <w:pPr>
      <w:keepNext/>
      <w:keepLines/>
      <w:spacing w:before="60" w:after="60"/>
      <w:ind w:left="431"/>
      <w:jc w:val="center"/>
    </w:pPr>
    <w:rPr>
      <w:rFonts w:ascii="Arial" w:eastAsia="Times New Roman" w:hAnsi="Arial" w:cs="Times New Roman"/>
      <w:b/>
      <w:bCs/>
      <w:color w:val="auto"/>
      <w:sz w:val="28"/>
      <w:szCs w:val="28"/>
    </w:rPr>
  </w:style>
  <w:style w:type="character" w:customStyle="1" w:styleId="AppendixHeadingChar">
    <w:name w:val="Appendix Heading Char"/>
    <w:link w:val="AppendixHeading"/>
    <w:rsid w:val="00F17B9B"/>
    <w:rPr>
      <w:rFonts w:ascii="Arial" w:eastAsia="Times New Roman" w:hAnsi="Arial" w:cs="Times New Roman"/>
      <w:b/>
      <w:bCs/>
      <w:sz w:val="28"/>
      <w:szCs w:val="28"/>
    </w:rPr>
  </w:style>
  <w:style w:type="paragraph" w:styleId="ListParagraph">
    <w:name w:val="List Paragraph"/>
    <w:basedOn w:val="Normal"/>
    <w:link w:val="ListParagraphChar"/>
    <w:uiPriority w:val="34"/>
    <w:qFormat/>
    <w:rsid w:val="00F17B9B"/>
    <w:pPr>
      <w:spacing w:after="0"/>
      <w:ind w:left="720"/>
      <w:contextualSpacing/>
    </w:pPr>
    <w:rPr>
      <w:rFonts w:ascii="Arial" w:eastAsia="Times New Roman" w:hAnsi="Arial" w:cs="Times New Roman"/>
      <w:color w:val="auto"/>
      <w:sz w:val="20"/>
      <w:szCs w:val="24"/>
    </w:rPr>
  </w:style>
  <w:style w:type="character" w:customStyle="1" w:styleId="ListParagraphChar">
    <w:name w:val="List Paragraph Char"/>
    <w:link w:val="ListParagraph"/>
    <w:uiPriority w:val="34"/>
    <w:rsid w:val="00F17B9B"/>
    <w:rPr>
      <w:rFonts w:ascii="Arial" w:eastAsia="Times New Roman" w:hAnsi="Arial" w:cs="Times New Roman"/>
      <w:sz w:val="20"/>
      <w:szCs w:val="24"/>
    </w:rPr>
  </w:style>
  <w:style w:type="paragraph" w:customStyle="1" w:styleId="SSENormal">
    <w:name w:val="SSE Normal"/>
    <w:basedOn w:val="Normal"/>
    <w:link w:val="SSENormalChar"/>
    <w:rsid w:val="00F17B9B"/>
    <w:pPr>
      <w:spacing w:after="0" w:line="360" w:lineRule="auto"/>
    </w:pPr>
    <w:rPr>
      <w:rFonts w:ascii="Arial" w:eastAsia="Times New Roman" w:hAnsi="Arial" w:cs="Times New Roman"/>
      <w:color w:val="auto"/>
    </w:rPr>
  </w:style>
  <w:style w:type="character" w:customStyle="1" w:styleId="SSENormalChar">
    <w:name w:val="SSE Normal Char"/>
    <w:link w:val="SSENormal"/>
    <w:rsid w:val="00F17B9B"/>
    <w:rPr>
      <w:rFonts w:ascii="Arial" w:eastAsia="Times New Roman" w:hAnsi="Arial" w:cs="Times New Roman"/>
    </w:rPr>
  </w:style>
  <w:style w:type="character" w:customStyle="1" w:styleId="SGNHeading1Char">
    <w:name w:val="SGN Heading 1 Char"/>
    <w:basedOn w:val="DefaultParagraphFont"/>
    <w:link w:val="SGNHeading1"/>
    <w:rsid w:val="00F17B9B"/>
    <w:rPr>
      <w:rFonts w:ascii="Arial" w:eastAsia="Times New Roman" w:hAnsi="Arial" w:cs="Arial"/>
      <w:b/>
      <w:bCs/>
      <w:caps/>
      <w:kern w:val="32"/>
      <w:sz w:val="28"/>
      <w:szCs w:val="24"/>
    </w:rPr>
  </w:style>
  <w:style w:type="paragraph" w:customStyle="1" w:styleId="SGNHeading2">
    <w:name w:val="SGN Heading 2"/>
    <w:basedOn w:val="Style1"/>
    <w:link w:val="SGNHeading2Char"/>
    <w:rsid w:val="00F17B9B"/>
    <w:pPr>
      <w:numPr>
        <w:ilvl w:val="0"/>
        <w:numId w:val="0"/>
      </w:numPr>
      <w:ind w:left="578" w:hanging="578"/>
      <w:jc w:val="left"/>
    </w:pPr>
    <w:rPr>
      <w:rFonts w:ascii="Arial Bold" w:hAnsi="Arial Bold"/>
    </w:rPr>
  </w:style>
  <w:style w:type="character" w:customStyle="1" w:styleId="SGNHeading2Char">
    <w:name w:val="SGN Heading 2 Char"/>
    <w:link w:val="SGNHeading2"/>
    <w:rsid w:val="00F17B9B"/>
    <w:rPr>
      <w:rFonts w:ascii="Arial Bold" w:eastAsia="Times New Roman" w:hAnsi="Arial Bold" w:cs="Arial"/>
      <w:b/>
      <w:bCs/>
      <w:caps/>
      <w:kern w:val="32"/>
      <w:sz w:val="24"/>
      <w:szCs w:val="24"/>
    </w:rPr>
  </w:style>
  <w:style w:type="paragraph" w:customStyle="1" w:styleId="TABLETEXT">
    <w:name w:val="TABLETEXT"/>
    <w:basedOn w:val="Normal"/>
    <w:rsid w:val="00F17B9B"/>
    <w:pPr>
      <w:spacing w:after="0"/>
    </w:pPr>
    <w:rPr>
      <w:rFonts w:ascii="Times New Roman" w:eastAsia="Times New Roman" w:hAnsi="Times New Roman" w:cs="Arial"/>
      <w:color w:val="auto"/>
      <w:sz w:val="20"/>
      <w:szCs w:val="18"/>
    </w:rPr>
  </w:style>
  <w:style w:type="paragraph" w:customStyle="1" w:styleId="Heading0">
    <w:name w:val="Heading 0"/>
    <w:basedOn w:val="Heading1"/>
    <w:next w:val="Normal"/>
    <w:link w:val="Heading0Char"/>
    <w:rsid w:val="00F17B9B"/>
    <w:pPr>
      <w:keepNext w:val="0"/>
      <w:keepLines w:val="0"/>
      <w:numPr>
        <w:numId w:val="0"/>
      </w:numPr>
      <w:spacing w:after="240"/>
    </w:pPr>
    <w:rPr>
      <w:rFonts w:ascii="Arial" w:eastAsia="Times New Roman" w:hAnsi="Arial" w:cs="Arial"/>
      <w:caps/>
      <w:color w:val="auto"/>
      <w:kern w:val="32"/>
      <w:sz w:val="20"/>
      <w:szCs w:val="32"/>
    </w:rPr>
  </w:style>
  <w:style w:type="paragraph" w:customStyle="1" w:styleId="Subhead0">
    <w:name w:val="Subhead 0"/>
    <w:basedOn w:val="Normal"/>
    <w:rsid w:val="00F17B9B"/>
    <w:pPr>
      <w:tabs>
        <w:tab w:val="left" w:pos="8480"/>
      </w:tabs>
      <w:spacing w:before="200" w:after="200"/>
    </w:pPr>
    <w:rPr>
      <w:rFonts w:ascii="Arial" w:eastAsia="Times New Roman" w:hAnsi="Arial" w:cs="Times New Roman"/>
      <w:b/>
      <w:color w:val="auto"/>
      <w:sz w:val="20"/>
      <w:szCs w:val="20"/>
      <w:lang w:val="en-US"/>
    </w:rPr>
  </w:style>
  <w:style w:type="character" w:customStyle="1" w:styleId="Heading0Char">
    <w:name w:val="Heading 0 Char"/>
    <w:basedOn w:val="DefaultParagraphFont"/>
    <w:link w:val="Heading0"/>
    <w:rsid w:val="00F17B9B"/>
    <w:rPr>
      <w:rFonts w:ascii="Arial" w:eastAsia="Times New Roman" w:hAnsi="Arial" w:cs="Arial"/>
      <w:b/>
      <w:bCs/>
      <w:caps/>
      <w:kern w:val="32"/>
      <w:sz w:val="20"/>
      <w:szCs w:val="32"/>
    </w:rPr>
  </w:style>
  <w:style w:type="table" w:customStyle="1" w:styleId="LightShading-Accent11">
    <w:name w:val="Light Shading - Accent 11"/>
    <w:basedOn w:val="TableNormal"/>
    <w:uiPriority w:val="60"/>
    <w:rsid w:val="00F17B9B"/>
    <w:pPr>
      <w:spacing w:after="0" w:line="240" w:lineRule="auto"/>
    </w:pPr>
    <w:rPr>
      <w:color w:val="AF4310" w:themeColor="accent1" w:themeShade="BF"/>
    </w:rPr>
    <w:tblPr>
      <w:tblStyleRowBandSize w:val="1"/>
      <w:tblStyleColBandSize w:val="1"/>
      <w:tblBorders>
        <w:top w:val="single" w:sz="8" w:space="0" w:color="EA5B16" w:themeColor="accent1"/>
        <w:bottom w:val="single" w:sz="8" w:space="0" w:color="EA5B16" w:themeColor="accent1"/>
      </w:tblBorders>
    </w:tblPr>
    <w:tblStylePr w:type="firstRow">
      <w:pPr>
        <w:spacing w:before="0" w:after="0" w:line="240" w:lineRule="auto"/>
      </w:pPr>
      <w:rPr>
        <w:b/>
        <w:bCs/>
      </w:rPr>
      <w:tblPr/>
      <w:tcPr>
        <w:tcBorders>
          <w:top w:val="single" w:sz="8" w:space="0" w:color="EA5B16" w:themeColor="accent1"/>
          <w:left w:val="nil"/>
          <w:bottom w:val="single" w:sz="8" w:space="0" w:color="EA5B16" w:themeColor="accent1"/>
          <w:right w:val="nil"/>
          <w:insideH w:val="nil"/>
          <w:insideV w:val="nil"/>
        </w:tcBorders>
      </w:tcPr>
    </w:tblStylePr>
    <w:tblStylePr w:type="lastRow">
      <w:pPr>
        <w:spacing w:before="0" w:after="0" w:line="240" w:lineRule="auto"/>
      </w:pPr>
      <w:rPr>
        <w:b/>
        <w:bCs/>
      </w:rPr>
      <w:tblPr/>
      <w:tcPr>
        <w:tcBorders>
          <w:top w:val="single" w:sz="8" w:space="0" w:color="EA5B16" w:themeColor="accent1"/>
          <w:left w:val="nil"/>
          <w:bottom w:val="single" w:sz="8" w:space="0" w:color="EA5B1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5" w:themeFill="accent1" w:themeFillTint="3F"/>
      </w:tcPr>
    </w:tblStylePr>
    <w:tblStylePr w:type="band1Horz">
      <w:tblPr/>
      <w:tcPr>
        <w:tcBorders>
          <w:left w:val="nil"/>
          <w:right w:val="nil"/>
          <w:insideH w:val="nil"/>
          <w:insideV w:val="nil"/>
        </w:tcBorders>
        <w:shd w:val="clear" w:color="auto" w:fill="F9D6C5" w:themeFill="accent1" w:themeFillTint="3F"/>
      </w:tcPr>
    </w:tblStylePr>
  </w:style>
  <w:style w:type="paragraph" w:styleId="NoSpacing">
    <w:name w:val="No Spacing"/>
    <w:rsid w:val="00742F27"/>
    <w:pPr>
      <w:spacing w:after="0" w:line="240" w:lineRule="auto"/>
    </w:pPr>
    <w:rPr>
      <w:rFonts w:ascii="Calibri" w:hAnsi="Calibri"/>
      <w:color w:val="5A5A59"/>
    </w:rPr>
  </w:style>
  <w:style w:type="character" w:styleId="FollowedHyperlink">
    <w:name w:val="FollowedHyperlink"/>
    <w:basedOn w:val="DefaultParagraphFont"/>
    <w:uiPriority w:val="99"/>
    <w:semiHidden/>
    <w:unhideWhenUsed/>
    <w:rsid w:val="004E2796"/>
    <w:rPr>
      <w:color w:val="84C3F0" w:themeColor="followedHyperlink"/>
      <w:u w:val="single"/>
    </w:rPr>
  </w:style>
  <w:style w:type="table" w:styleId="LightGrid-Accent1">
    <w:name w:val="Light Grid Accent 1"/>
    <w:basedOn w:val="TableNormal"/>
    <w:uiPriority w:val="62"/>
    <w:rsid w:val="005A41BE"/>
    <w:pPr>
      <w:spacing w:after="0" w:line="240" w:lineRule="auto"/>
    </w:pPr>
    <w:tblPr>
      <w:tblStyleRowBandSize w:val="1"/>
      <w:tblStyleColBandSize w:val="1"/>
      <w:tblBorders>
        <w:top w:val="single" w:sz="8" w:space="0" w:color="EA5B16" w:themeColor="accent1"/>
        <w:left w:val="single" w:sz="8" w:space="0" w:color="EA5B16" w:themeColor="accent1"/>
        <w:bottom w:val="single" w:sz="8" w:space="0" w:color="EA5B16" w:themeColor="accent1"/>
        <w:right w:val="single" w:sz="8" w:space="0" w:color="EA5B16" w:themeColor="accent1"/>
        <w:insideH w:val="single" w:sz="8" w:space="0" w:color="EA5B16" w:themeColor="accent1"/>
        <w:insideV w:val="single" w:sz="8" w:space="0" w:color="EA5B1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5B16" w:themeColor="accent1"/>
          <w:left w:val="single" w:sz="8" w:space="0" w:color="EA5B16" w:themeColor="accent1"/>
          <w:bottom w:val="single" w:sz="18" w:space="0" w:color="EA5B16" w:themeColor="accent1"/>
          <w:right w:val="single" w:sz="8" w:space="0" w:color="EA5B16" w:themeColor="accent1"/>
          <w:insideH w:val="nil"/>
          <w:insideV w:val="single" w:sz="8" w:space="0" w:color="EA5B1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5B16" w:themeColor="accent1"/>
          <w:left w:val="single" w:sz="8" w:space="0" w:color="EA5B16" w:themeColor="accent1"/>
          <w:bottom w:val="single" w:sz="8" w:space="0" w:color="EA5B16" w:themeColor="accent1"/>
          <w:right w:val="single" w:sz="8" w:space="0" w:color="EA5B16" w:themeColor="accent1"/>
          <w:insideH w:val="nil"/>
          <w:insideV w:val="single" w:sz="8" w:space="0" w:color="EA5B1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5B16" w:themeColor="accent1"/>
          <w:left w:val="single" w:sz="8" w:space="0" w:color="EA5B16" w:themeColor="accent1"/>
          <w:bottom w:val="single" w:sz="8" w:space="0" w:color="EA5B16" w:themeColor="accent1"/>
          <w:right w:val="single" w:sz="8" w:space="0" w:color="EA5B16" w:themeColor="accent1"/>
        </w:tcBorders>
      </w:tcPr>
    </w:tblStylePr>
    <w:tblStylePr w:type="band1Vert">
      <w:tblPr/>
      <w:tcPr>
        <w:tcBorders>
          <w:top w:val="single" w:sz="8" w:space="0" w:color="EA5B16" w:themeColor="accent1"/>
          <w:left w:val="single" w:sz="8" w:space="0" w:color="EA5B16" w:themeColor="accent1"/>
          <w:bottom w:val="single" w:sz="8" w:space="0" w:color="EA5B16" w:themeColor="accent1"/>
          <w:right w:val="single" w:sz="8" w:space="0" w:color="EA5B16" w:themeColor="accent1"/>
        </w:tcBorders>
        <w:shd w:val="clear" w:color="auto" w:fill="F9D6C5" w:themeFill="accent1" w:themeFillTint="3F"/>
      </w:tcPr>
    </w:tblStylePr>
    <w:tblStylePr w:type="band1Horz">
      <w:tblPr/>
      <w:tcPr>
        <w:tcBorders>
          <w:top w:val="single" w:sz="8" w:space="0" w:color="EA5B16" w:themeColor="accent1"/>
          <w:left w:val="single" w:sz="8" w:space="0" w:color="EA5B16" w:themeColor="accent1"/>
          <w:bottom w:val="single" w:sz="8" w:space="0" w:color="EA5B16" w:themeColor="accent1"/>
          <w:right w:val="single" w:sz="8" w:space="0" w:color="EA5B16" w:themeColor="accent1"/>
          <w:insideV w:val="single" w:sz="8" w:space="0" w:color="EA5B16" w:themeColor="accent1"/>
        </w:tcBorders>
        <w:shd w:val="clear" w:color="auto" w:fill="F9D6C5" w:themeFill="accent1" w:themeFillTint="3F"/>
      </w:tcPr>
    </w:tblStylePr>
    <w:tblStylePr w:type="band2Horz">
      <w:tblPr/>
      <w:tcPr>
        <w:tcBorders>
          <w:top w:val="single" w:sz="8" w:space="0" w:color="EA5B16" w:themeColor="accent1"/>
          <w:left w:val="single" w:sz="8" w:space="0" w:color="EA5B16" w:themeColor="accent1"/>
          <w:bottom w:val="single" w:sz="8" w:space="0" w:color="EA5B16" w:themeColor="accent1"/>
          <w:right w:val="single" w:sz="8" w:space="0" w:color="EA5B16" w:themeColor="accent1"/>
          <w:insideV w:val="single" w:sz="8" w:space="0" w:color="EA5B16" w:themeColor="accent1"/>
        </w:tcBorders>
      </w:tcPr>
    </w:tblStylePr>
  </w:style>
  <w:style w:type="character" w:customStyle="1" w:styleId="None">
    <w:name w:val="None"/>
    <w:rsid w:val="00954910"/>
  </w:style>
  <w:style w:type="paragraph" w:customStyle="1" w:styleId="Default">
    <w:name w:val="Default"/>
    <w:rsid w:val="00382397"/>
    <w:pPr>
      <w:autoSpaceDE w:val="0"/>
      <w:autoSpaceDN w:val="0"/>
      <w:adjustRightInd w:val="0"/>
      <w:spacing w:after="0" w:line="240" w:lineRule="auto"/>
    </w:pPr>
    <w:rPr>
      <w:rFonts w:ascii="Calibri" w:hAnsi="Calibri" w:cs="Calibri"/>
      <w:color w:val="000000"/>
      <w:sz w:val="24"/>
      <w:szCs w:val="24"/>
    </w:rPr>
  </w:style>
  <w:style w:type="paragraph" w:styleId="List2">
    <w:name w:val="List 2"/>
    <w:basedOn w:val="Normal"/>
    <w:rsid w:val="00382397"/>
    <w:pPr>
      <w:spacing w:after="0"/>
      <w:ind w:left="566" w:hanging="283"/>
    </w:pPr>
    <w:rPr>
      <w:rFonts w:ascii="Arial" w:eastAsia="Times New Roman" w:hAnsi="Arial" w:cs="Times New Roman"/>
      <w:color w:val="auto"/>
      <w:sz w:val="20"/>
      <w:szCs w:val="24"/>
      <w:lang w:eastAsia="en-GB"/>
    </w:rPr>
  </w:style>
  <w:style w:type="character" w:styleId="UnresolvedMention">
    <w:name w:val="Unresolved Mention"/>
    <w:basedOn w:val="DefaultParagraphFont"/>
    <w:uiPriority w:val="99"/>
    <w:semiHidden/>
    <w:unhideWhenUsed/>
    <w:rsid w:val="00B95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ameron.kerr@sse.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ameron.kerr@ss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cameron.kerr@ss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package" Target="embeddings/Microsoft_Excel_Macro-Enabled_Worksheet.xlsm"/><Relationship Id="rId27"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j89313\AppData\Local\Temp\1\Temp1_OneDrive_1_7-1-2019%20(003).zip\SGN-report-template-white.dotx" TargetMode="External"/></Relationships>
</file>

<file path=word/theme/theme1.xml><?xml version="1.0" encoding="utf-8"?>
<a:theme xmlns:a="http://schemas.openxmlformats.org/drawingml/2006/main" name="Office Theme">
  <a:themeElements>
    <a:clrScheme name="SGN">
      <a:dk1>
        <a:sysClr val="windowText" lastClr="000000"/>
      </a:dk1>
      <a:lt1>
        <a:sysClr val="window" lastClr="FFFFFF"/>
      </a:lt1>
      <a:dk2>
        <a:srgbClr val="EA5B16"/>
      </a:dk2>
      <a:lt2>
        <a:srgbClr val="002249"/>
      </a:lt2>
      <a:accent1>
        <a:srgbClr val="EA5B16"/>
      </a:accent1>
      <a:accent2>
        <a:srgbClr val="002249"/>
      </a:accent2>
      <a:accent3>
        <a:srgbClr val="84C3F0"/>
      </a:accent3>
      <a:accent4>
        <a:srgbClr val="95549C"/>
      </a:accent4>
      <a:accent5>
        <a:srgbClr val="F79646"/>
      </a:accent5>
      <a:accent6>
        <a:srgbClr val="E63F0C"/>
      </a:accent6>
      <a:hlink>
        <a:srgbClr val="EA5B16"/>
      </a:hlink>
      <a:folHlink>
        <a:srgbClr val="84C3F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BD4BE96E4D664CB20CD8736A0CB190" ma:contentTypeVersion="9" ma:contentTypeDescription="Create a new document." ma:contentTypeScope="" ma:versionID="a12a19f809c36dc3eba92d085b3d9b51">
  <xsd:schema xmlns:xsd="http://www.w3.org/2001/XMLSchema" xmlns:xs="http://www.w3.org/2001/XMLSchema" xmlns:p="http://schemas.microsoft.com/office/2006/metadata/properties" xmlns:ns1="http://schemas.microsoft.com/sharepoint/v3" xmlns:ns2="60253c86-6be0-4e11-9784-8d3c40db59a1" xmlns:ns3="6b55a666-67fc-440c-9f39-8b2e87e57261" targetNamespace="http://schemas.microsoft.com/office/2006/metadata/properties" ma:root="true" ma:fieldsID="ab013e3dde4e15fa1e8139a0c2182188" ns1:_="" ns2:_="" ns3:_="">
    <xsd:import namespace="http://schemas.microsoft.com/sharepoint/v3"/>
    <xsd:import namespace="60253c86-6be0-4e11-9784-8d3c40db59a1"/>
    <xsd:import namespace="6b55a666-67fc-440c-9f39-8b2e87e572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Purpose" minOccurs="0"/>
                <xsd:element ref="ns2:Focus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53c86-6be0-4e11-9784-8d3c40db5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urpose" ma:index="14" nillable="true" ma:displayName="Purpose" ma:default="tbc" ma:format="Dropdown" ma:internalName="Purpose">
      <xsd:simpleType>
        <xsd:restriction base="dms:Choice">
          <xsd:enumeration value="Exec"/>
          <xsd:enumeration value="Major Projects"/>
          <xsd:enumeration value="Property"/>
          <xsd:enumeration value="Network"/>
          <xsd:enumeration value="Commercial Services"/>
          <xsd:enumeration value="Natural Gas"/>
          <xsd:enumeration value="tbc"/>
          <xsd:enumeration value="PL"/>
          <xsd:enumeration value="Category Mgt"/>
          <xsd:enumeration value="EU"/>
          <xsd:enumeration value="Planning"/>
          <xsd:enumeration value="New Templates"/>
          <xsd:enumeration value="Structures"/>
          <xsd:enumeration value="T&amp;D"/>
          <xsd:enumeration value="Instructions"/>
        </xsd:restriction>
      </xsd:simpleType>
    </xsd:element>
    <xsd:element name="FocusArea" ma:index="15" nillable="true" ma:displayName="Focus Area" ma:format="Dropdown" ma:internalName="FocusAre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5a666-67fc-440c-9f39-8b2e87e572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FocusArea xmlns="60253c86-6be0-4e11-9784-8d3c40db59a1" xsi:nil="true"/>
    <Purpose xmlns="60253c86-6be0-4e11-9784-8d3c40db59a1">tbc</Purpose>
    <SharedWithUsers xmlns="6b55a666-67fc-440c-9f39-8b2e87e5726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AEEC6-72F1-4A83-804E-7F33D6356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253c86-6be0-4e11-9784-8d3c40db59a1"/>
    <ds:schemaRef ds:uri="6b55a666-67fc-440c-9f39-8b2e87e57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32303-DFD6-4B86-B741-713E9796C46B}">
  <ds:schemaRefs>
    <ds:schemaRef ds:uri="http://schemas.microsoft.com/office/2006/metadata/properties"/>
    <ds:schemaRef ds:uri="http://schemas.microsoft.com/office/infopath/2007/PartnerControls"/>
    <ds:schemaRef ds:uri="http://schemas.microsoft.com/sharepoint/v3"/>
    <ds:schemaRef ds:uri="60253c86-6be0-4e11-9784-8d3c40db59a1"/>
    <ds:schemaRef ds:uri="6b55a666-67fc-440c-9f39-8b2e87e57261"/>
  </ds:schemaRefs>
</ds:datastoreItem>
</file>

<file path=customXml/itemProps3.xml><?xml version="1.0" encoding="utf-8"?>
<ds:datastoreItem xmlns:ds="http://schemas.openxmlformats.org/officeDocument/2006/customXml" ds:itemID="{6CB7FB6F-4394-4810-BE47-793772B6D6E0}">
  <ds:schemaRefs>
    <ds:schemaRef ds:uri="http://schemas.microsoft.com/sharepoint/v3/contenttype/forms"/>
  </ds:schemaRefs>
</ds:datastoreItem>
</file>

<file path=customXml/itemProps4.xml><?xml version="1.0" encoding="utf-8"?>
<ds:datastoreItem xmlns:ds="http://schemas.openxmlformats.org/officeDocument/2006/customXml" ds:itemID="{50B3D92F-39E0-4067-9DF5-A4C3B5B5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SGN-report-template-white</Template>
  <TotalTime>0</TotalTime>
  <Pages>9</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Brochet</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 Cameron;SSE</dc:creator>
  <cp:lastModifiedBy>Razak, Afshin</cp:lastModifiedBy>
  <cp:revision>2</cp:revision>
  <dcterms:created xsi:type="dcterms:W3CDTF">2019-09-09T14:20:00Z</dcterms:created>
  <dcterms:modified xsi:type="dcterms:W3CDTF">2019-09-09T14:20:00Z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0x0101008ABD4BE96E4D664CB20CD8736A0CB190</vt:lpwstr>
  </property>
  <property fmtid="{D5CDD505-2E9C-101B-9397-08002B2CF9AE}" pid="3" name="Order">
    <vt:r8>595700</vt:r8>
  </property>
  <property fmtid="{D5CDD505-2E9C-101B-9397-08002B2CF9AE}" pid="4" name="CandC_PublishedDate">
    <vt:filetime>2018-11-12T10:35:40Z</vt:filetime>
  </property>
  <property fmtid="{D5CDD505-2E9C-101B-9397-08002B2CF9AE}" pid="5" name="SharedWithUsers">
    <vt:lpwstr/>
  </property>
  <property fmtid="{D5CDD505-2E9C-101B-9397-08002B2CF9AE}" pid="6" name="CandC_IsKey">
    <vt:bool>true</vt:bool>
  </property>
  <property fmtid="{D5CDD505-2E9C-101B-9397-08002B2CF9AE}" pid="7" name="CandC_OwnerOrAuthor">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CandC_Tax_1">
    <vt:lpwstr>24;#Stakeholder Relations|484de8a4-2b8b-48c1-a08b-7289ca4b2707</vt:lpwstr>
  </property>
  <property fmtid="{D5CDD505-2E9C-101B-9397-08002B2CF9AE}" pid="12" name="CandC_DocumentCat">
    <vt:lpwstr>56;#Communications|2a8501e0-5a40-4179-a856-b03a63780c62</vt:lpwstr>
  </property>
  <property fmtid="{D5CDD505-2E9C-101B-9397-08002B2CF9AE}" pid="13" name="CandC_Tax_4">
    <vt:lpwstr>6;#Company updates|f1a6c213-8909-4a09-addc-ab4d6aa53508;#28;#Our people|4cf422ca-b5ff-43bf-b4b8-b46d31b5724a</vt:lpwstr>
  </property>
  <property fmtid="{D5CDD505-2E9C-101B-9397-08002B2CF9AE}" pid="14" name="CandC_Tax_3">
    <vt:lpwstr/>
  </property>
  <property fmtid="{D5CDD505-2E9C-101B-9397-08002B2CF9AE}" pid="15" name="CandC_Tax_2">
    <vt:lpwstr/>
  </property>
</Properties>
</file>